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73C3" w14:textId="77777777" w:rsidR="00334801" w:rsidRPr="006C04FE" w:rsidRDefault="00C309BB">
      <w:pPr>
        <w:pStyle w:val="3"/>
        <w:jc w:val="center"/>
        <w:divId w:val="280495911"/>
        <w:rPr>
          <w:rFonts w:eastAsia="Times New Roman"/>
          <w:sz w:val="28"/>
          <w:szCs w:val="28"/>
        </w:rPr>
      </w:pPr>
      <w:r w:rsidRPr="006C04FE">
        <w:rPr>
          <w:rFonts w:eastAsia="Times New Roman"/>
          <w:sz w:val="28"/>
          <w:szCs w:val="28"/>
        </w:rPr>
        <w:t>ДЕСЯТЫЙ АРБИТРАЖНЫЙ АПЕЛЛЯЦИОННЫЙ СУД</w:t>
      </w:r>
    </w:p>
    <w:p w14:paraId="3556CE37" w14:textId="77777777" w:rsidR="00334801" w:rsidRPr="006C04FE" w:rsidRDefault="00C309BB">
      <w:pPr>
        <w:pStyle w:val="3"/>
        <w:jc w:val="center"/>
        <w:divId w:val="280495911"/>
        <w:rPr>
          <w:rFonts w:eastAsia="Times New Roman"/>
          <w:sz w:val="28"/>
          <w:szCs w:val="28"/>
        </w:rPr>
      </w:pPr>
      <w:r w:rsidRPr="006C04FE">
        <w:rPr>
          <w:rFonts w:eastAsia="Times New Roman"/>
          <w:sz w:val="28"/>
          <w:szCs w:val="28"/>
        </w:rPr>
        <w:t>ПОСТАНОВЛЕНИЕ</w:t>
      </w:r>
    </w:p>
    <w:p w14:paraId="5E31EDAB" w14:textId="77777777" w:rsidR="00334801" w:rsidRPr="006C04FE" w:rsidRDefault="00C309BB">
      <w:pPr>
        <w:pStyle w:val="3"/>
        <w:jc w:val="center"/>
        <w:divId w:val="280495911"/>
        <w:rPr>
          <w:rFonts w:eastAsia="Times New Roman"/>
          <w:sz w:val="28"/>
          <w:szCs w:val="28"/>
        </w:rPr>
      </w:pPr>
      <w:r w:rsidRPr="006C04FE">
        <w:rPr>
          <w:rFonts w:eastAsia="Times New Roman"/>
          <w:sz w:val="28"/>
          <w:szCs w:val="28"/>
        </w:rPr>
        <w:t>от 27 декабря 2021 года № 10АП-23220/2021</w:t>
      </w:r>
    </w:p>
    <w:p w14:paraId="3C77A338" w14:textId="77777777" w:rsidR="00334801" w:rsidRPr="006C04FE" w:rsidRDefault="00C309BB">
      <w:pPr>
        <w:pStyle w:val="a5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Резолютивная часть постановления объявлена 21 декабря 2021 года</w:t>
      </w:r>
    </w:p>
    <w:p w14:paraId="54BD7CF9" w14:textId="77777777" w:rsidR="00334801" w:rsidRPr="006C04FE" w:rsidRDefault="00C309BB">
      <w:pPr>
        <w:pStyle w:val="a5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Постановление изготовлено в полном объеме 27 декабря 2021 года</w:t>
      </w:r>
    </w:p>
    <w:p w14:paraId="0470504D" w14:textId="77777777" w:rsidR="00334801" w:rsidRPr="006C04FE" w:rsidRDefault="00C309BB">
      <w:pPr>
        <w:pStyle w:val="a5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Десятый арбитражный апелляционный суд в составе: председательствующего судьи </w:t>
      </w:r>
      <w:proofErr w:type="spellStart"/>
      <w:r w:rsidRPr="006C04FE">
        <w:rPr>
          <w:rStyle w:val="sentence"/>
          <w:sz w:val="28"/>
          <w:szCs w:val="28"/>
        </w:rPr>
        <w:t>Диаковской</w:t>
      </w:r>
      <w:proofErr w:type="spellEnd"/>
      <w:r w:rsidRPr="006C04FE">
        <w:rPr>
          <w:rStyle w:val="sentence"/>
          <w:sz w:val="28"/>
          <w:szCs w:val="28"/>
        </w:rPr>
        <w:t xml:space="preserve"> Н.В., судей Немчиновой М.А., Хомякова Э.Г., при ведении протокола судебного заседания: секретарем </w:t>
      </w:r>
      <w:proofErr w:type="spellStart"/>
      <w:r w:rsidRPr="006C04FE">
        <w:rPr>
          <w:rStyle w:val="sentence"/>
          <w:sz w:val="28"/>
          <w:szCs w:val="28"/>
        </w:rPr>
        <w:t>Божиной</w:t>
      </w:r>
      <w:proofErr w:type="spellEnd"/>
      <w:r w:rsidRPr="006C04FE">
        <w:rPr>
          <w:rStyle w:val="sentence"/>
          <w:sz w:val="28"/>
          <w:szCs w:val="28"/>
        </w:rPr>
        <w:t xml:space="preserve"> П.И., при участии в заседании: от ТФ ОМС города Байконур – представитель не явился, извещен; от ФГБУЗ ЦМСЧ № 1 ФМБА России – представитель не явился, извещено, рассмотрев в судебном заседании апелляционную жалобу Территориального фонда обязательного медицинского страхования города Байконур на решение Арбитражного суда Московской области от 30 сентября 2021 года по делу № А41-50523/2021 по заявлению федерального государственного бюджетного учреждения здравоохранения "Центральная медико-санитарная часть № 1 федерального медико-биологического агентства России к территориальному фонду обязательного медицинского страхования города Байконур об оспаривании акта проверки,</w:t>
      </w:r>
    </w:p>
    <w:p w14:paraId="63C54667" w14:textId="77777777" w:rsidR="00334801" w:rsidRPr="006C04FE" w:rsidRDefault="00C309BB">
      <w:pPr>
        <w:pStyle w:val="a5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УСТАНОВИЛ:</w:t>
      </w:r>
    </w:p>
    <w:p w14:paraId="222AD29C" w14:textId="3553EFD8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федеральное государственное бюджетное учреждение здравоохранения "Центральная медико-санитарная часть №</w:t>
      </w:r>
      <w:r w:rsidR="00EE5D4A" w:rsidRPr="006C04FE">
        <w:rPr>
          <w:rStyle w:val="sentence"/>
          <w:sz w:val="28"/>
          <w:szCs w:val="28"/>
        </w:rPr>
        <w:t> </w:t>
      </w:r>
      <w:r w:rsidRPr="006C04FE">
        <w:rPr>
          <w:rStyle w:val="sentence"/>
          <w:sz w:val="28"/>
          <w:szCs w:val="28"/>
        </w:rPr>
        <w:t xml:space="preserve">1 федерального медико-биологического агентства России (далее - ФГБУЗ ЦМСЧ № 1 ФМБА России, </w:t>
      </w: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>) обратилось в Арбитражный суд Московской области с заявлением к территориальному фонду обязательного медицинского страхования города Байконур (далее – ТФ ОМС города Байконур, заинтересованное лицо, фонд) о признании незаконным акт плановой комплексной проверки использования средств обязательного медицинского страхования от 29.04.2021 в части выводов о нецелевом использовании средств ОМС в общей сумме 4 211 062 руб. 11 коп.</w:t>
      </w:r>
    </w:p>
    <w:p w14:paraId="5FDE6171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Решением Арбитражного суда Московской области от 30 сентября 2021 года по делу № А41-50523/2021 признан незаконным акт плановой комплексной проверки использования средств обязательного медицинского страхования от 29.04.2021 в части отнесения к нецелевым расходам суммы 94 395 руб. 35 коп. В удовлетворении остальной части заявления отказано (т. 1 л. д. 237-242).</w:t>
      </w:r>
    </w:p>
    <w:p w14:paraId="714D23C9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Не согласившись с данным судебным актом, ТФ ОМС города Байконур обратился в Десятый арбитражный апелляционный суд с апелляционной </w:t>
      </w:r>
      <w:r w:rsidRPr="006C04FE">
        <w:rPr>
          <w:rStyle w:val="sentence"/>
          <w:sz w:val="28"/>
          <w:szCs w:val="28"/>
        </w:rPr>
        <w:lastRenderedPageBreak/>
        <w:t>жалобой, полагая, что судом первой инстанции неполно выяснены обстоятельства, имеющие значение для дела, а также нарушены нормы материального права.</w:t>
      </w:r>
    </w:p>
    <w:p w14:paraId="3762B9E6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Законность и обоснованность принятого судом первой инстанции решения проверены арбитражным апелляционным судом в порядке статей 266, 268 Арбитражного процессуального кодекса Российской Федерации (далее - АПК РФ).</w:t>
      </w:r>
    </w:p>
    <w:p w14:paraId="61828B56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Дело рассмотрено в отсутствие представителей лиц, участвующих в деле, извещенных надлежащим образом о времени и месте рассмотрения дела (в том числе публично путем размещения информации на официальном сайте суда www.10aas.arbitr.ru).</w:t>
      </w:r>
    </w:p>
    <w:p w14:paraId="682859D3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Изучив материалы дела, проанализировав доводы апелляционной жалобы, проверив правильность применения норм материального и процессуального права, Десятый арбитражный апелляционный суд не находит оснований для отмены решения суда первой инстанции.</w:t>
      </w:r>
    </w:p>
    <w:p w14:paraId="6F0AEFF5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Как следует из материалов дела и установлено судом, в период с 01 апреля по 30 апреля 2021 года ТФ ОМС города Байконур была проведена плановая комплексная проверки использования средств ОМС в ФГБУЗ ЦМСЧ № 1 ФМБА России за период с 01.01.2010 по 31.12.2020.</w:t>
      </w:r>
    </w:p>
    <w:p w14:paraId="11A470F5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По результатам проверки был составлен акт плановой комплексной проверки использования средств обязательного медицинского страхования в ФГБУЗ ЦМСЧ № 1 ФМБА России от 29.04.2021, которым </w:t>
      </w:r>
      <w:r w:rsidRPr="006C04FE">
        <w:rPr>
          <w:rStyle w:val="claimant"/>
          <w:sz w:val="28"/>
          <w:szCs w:val="28"/>
        </w:rPr>
        <w:t>заявителю</w:t>
      </w:r>
      <w:r w:rsidRPr="006C04FE">
        <w:rPr>
          <w:rStyle w:val="sentence"/>
          <w:sz w:val="28"/>
          <w:szCs w:val="28"/>
        </w:rPr>
        <w:t xml:space="preserve"> предложено перечислить использованные не по целевому назначению денежные средства в сумме 4 261 781,71руб. и штраф в сумме 430 746 руб. (т. 1 л. д. 11-58) Полагая, что указанный акт является незаконным и нарушает права и законные интересы ФГБУЗ ЦМСЧ № 1 ФМБА России в сфере предпринимательской деятельности, </w:t>
      </w: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обратился в арбитражный суд с заявлением по настоящему делу.</w:t>
      </w:r>
    </w:p>
    <w:p w14:paraId="6C8E30A8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Арбитражный апелляционный суд согласен с выводом суда первой инстанции о наличии оснований для признания незаконным акта плановой комплексной проверки использования средств обязательного медицинского страхования от 29.04.2021 в части отнесения к нецелевым расходам суммы 94 395 руб. 35 коп. в связи со следующим.</w:t>
      </w:r>
    </w:p>
    <w:p w14:paraId="25ED8C14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Статьей 49 ГК РФ установлено, что право юридического лица осуществлять деятельность, для занятия которой необходимо получение специального разрешения (лицензии) возникает с момента получения такого разрешения (лицензии) или в указанный в нем срок.</w:t>
      </w:r>
    </w:p>
    <w:p w14:paraId="2523963C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В силу статьи 18 Федерального закона от 04.05.2011 N 99-ФЗ "О лицензировании отдельных видов деятельности" лицензия подлежит переоформлению в случаях реорганизации юридического лица в форме преобразования, изменения его наименования, адреса места нахождения, а также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личность, адресов мест осуществления юридическим лицом или индивидуальным предпринимателем </w:t>
      </w:r>
      <w:r w:rsidRPr="006C04FE">
        <w:rPr>
          <w:rStyle w:val="sentence"/>
          <w:sz w:val="28"/>
          <w:szCs w:val="28"/>
        </w:rPr>
        <w:lastRenderedPageBreak/>
        <w:t>лицензируемого вида деятельности, перечня выполняемых работ, оказываемых услуг, составляющих лицензируемый вид деятельности, изменения в соответствии с нормативным правовым актом Российской Федерации наименования лицензируемого вида деятельности, перечней работ, услуг, которые выполняются, оказываются в составе конкретных видов деятельности, если необходимость переоформления лицензии определена этим нормативным правовым актом.</w:t>
      </w:r>
    </w:p>
    <w:p w14:paraId="614753C3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До переоформления лицензии в случаях, предусмотренных частью 1 настоящей статьи, лицензиат вправе осуществлять лицензируемый вид деятельности, за исключением его осуществления по адресу, не указанному в лицензии, или по истечении срока, определенного частью 5 настоящей статьи, и (или) выполнения работ, оказания услуг, составляющих лицензируемый вид деятельности, но не указанных в лицензии. Для переоформления лицензии лицензиат, его правопреемник или иное предусмотренное федеральным законом лицо представляет в лицензирующий орган, предоставивший лицензию, либо направляет заказным почтовым отправлением с уведомлением о вручении заявление о переоформлении лицензии, оригинал действующей лицензии и документ, подтверждающий уплату государственной пошлины за переоформление лицензии. Заявление о переоформлении лицензии может быть направлено в лицензирующий орган в форме электронного документа, подписанного электронной подписью. В случае реорганизации юридического лица в форме преобразования в заявлении о переоформлении лицензии указываются новые сведения о лицензиате или его правопреемнике, предусмотренные частью 1 статьи 13 настоящего Федерального закона, и данные документа, подтверждающего факт внесения соответствующих изменений в единый государственный реестр юридических лиц. Заявление о переоформлении лицензии и прилагаемые к нему документы представляются в лицензирующий орган не позднее чем через пятнадцать рабочих дней со дня внесения соответствующих изменений в единый государственный реестр юридических лиц.</w:t>
      </w:r>
    </w:p>
    <w:p w14:paraId="08654320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Исходя из изложенного, </w:t>
      </w: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не имел права оказывать услуги по направлению неонатология после изменения адреса места осуществления этой деятельности до переоформления лицензии, запрет на осуществления деятельности до переоформления лицензии установлен частью 2 статьи 18 Федерального закона от 04.05.2011 № 99-ФЗ "О лицензировании отдельных видов деятельности".</w:t>
      </w:r>
    </w:p>
    <w:p w14:paraId="2FCCC997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Таким образом, фактически </w:t>
      </w: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оказывал услуги по названному направлению деятельности без лицензии, в связи с чем его расходы не подлежат оплате из средств ОМС.</w:t>
      </w:r>
    </w:p>
    <w:p w14:paraId="5E5E6AB7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В состав не принятого расхода включены суммы - 2 212 110 руб. 75 коп. (заработная плата врачей неонатологов за период март - декабрь 2020), 20 000 руб. (затраты на повышение квалификации по программе «Неонатология» по акту выполненных работ от 13.05.2020), всего - 2 232 110 руб. 75 коп.</w:t>
      </w:r>
    </w:p>
    <w:p w14:paraId="6730C58C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lastRenderedPageBreak/>
        <w:t>По эпизоду выдачи спецпитания - молока вменяется нецелевое использование средств обязательного медицинского страхования в сумме 8 320 руб. 28 коп.</w:t>
      </w:r>
    </w:p>
    <w:p w14:paraId="5517683F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Как следует из материалов дела, </w:t>
      </w: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ссылается на то, что смена работника (медсестры), осуществляющей трудовую деятельность </w:t>
      </w:r>
      <w:proofErr w:type="gramStart"/>
      <w:r w:rsidRPr="006C04FE">
        <w:rPr>
          <w:rStyle w:val="sentence"/>
          <w:sz w:val="28"/>
          <w:szCs w:val="28"/>
        </w:rPr>
        <w:t>на 0,25% ставки</w:t>
      </w:r>
      <w:proofErr w:type="gramEnd"/>
      <w:r w:rsidRPr="006C04FE">
        <w:rPr>
          <w:rStyle w:val="sentence"/>
          <w:sz w:val="28"/>
          <w:szCs w:val="28"/>
        </w:rPr>
        <w:t xml:space="preserve"> составляет его полную смену (1,95часа), что определяет его время работы во вредных условия как в течение всей этой смены.</w:t>
      </w:r>
    </w:p>
    <w:p w14:paraId="7E07114C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Так, согласно статье 219 ТК РФ работник имеет право на получение компенсаций, установленных в соответствии с данным Кодексом, коллективным договором, соглашением, локальным нормативным актом, трудовым договором, если он занят на тяжелых работах, работах с вредными и (или) опасными условиями труда.</w:t>
      </w:r>
    </w:p>
    <w:p w14:paraId="702F9DB2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На основании статьи 222 ТК РФ на работах с вредными условиями труда работникам выдаются бесплатно по установленным нормам молоко или другие равноценные пищевые продукты. Нормы и условия бесплатной выдачи молока или других равноценных пищевых продуктов устанавливаются в порядке, определяемом Правительством Российской Федерации, с учетом мнения Российской трехсторонней комиссии по регулированию социально-трудовых отношений.</w:t>
      </w:r>
    </w:p>
    <w:p w14:paraId="6DC1B710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Постановлением Правительства Российской Федерации от 13.03.2008 № 168 "О порядке определения норм и условий бесплатной выдачи </w:t>
      </w:r>
      <w:proofErr w:type="spellStart"/>
      <w:r w:rsidRPr="006C04FE">
        <w:rPr>
          <w:rStyle w:val="sentence"/>
          <w:sz w:val="28"/>
          <w:szCs w:val="28"/>
        </w:rPr>
        <w:t>лечебно</w:t>
      </w:r>
      <w:proofErr w:type="spellEnd"/>
      <w:r w:rsidRPr="006C04FE">
        <w:rPr>
          <w:rStyle w:val="sentence"/>
          <w:sz w:val="28"/>
          <w:szCs w:val="28"/>
        </w:rPr>
        <w:t xml:space="preserve"> - профилактического питания, молока или других равноценных пищевых продуктов и осуществления компенсационной выплаты в размере, эквивалентном стоимости молока или других равноценных пищевых продуктов" предусмотрено, что работникам, занятым на работах с вредными условиями труда, бесплатная выдача молока или других равноценных пищевых продуктов осуществляется в соответствии с перечнем вредных производственных факторов, при воздействии которых в профилактических целях рекомендуется употребление молока или других равноценных пищевых продуктов, нормами и условиями бесплатной выдачи молока или других равноценных пищевых продуктов.</w:t>
      </w:r>
    </w:p>
    <w:p w14:paraId="3B98D554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Пунктом 2 данного постановления предусмотрена возможность замены бесплатной выдачи молока или других равноценных пищевых продуктов компенсационной выплатой в размере, эквивалентном стоимости молока или других равноценных пищевых продуктов.</w:t>
      </w:r>
    </w:p>
    <w:p w14:paraId="713CBC5F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Перечень вредных производственных факторов, при воздействии которых в профилактических целях рекомендуется употребление молока или других равноценных пищевых продуктов, утвержден приказом Минздравсоцразвития России от 16.02.2009 № 45н (далее - Приказ № 45-н). Этим же приказом утверждены нормы и условия бесплатной выдачи работникам, занятым на работах с вредными условиями труда, молока или других равноценных пищевых продуктов, которые могут выдаваться работникам вместо молока.</w:t>
      </w:r>
    </w:p>
    <w:p w14:paraId="421385F1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Бесплатная выдача молока или других равноценных пищевых продуктов производится работникам в дни фактической занятости на работах с вредными </w:t>
      </w:r>
      <w:r w:rsidRPr="006C04FE">
        <w:rPr>
          <w:rStyle w:val="sentence"/>
          <w:sz w:val="28"/>
          <w:szCs w:val="28"/>
        </w:rPr>
        <w:lastRenderedPageBreak/>
        <w:t>условиями труда, обусловленными наличием на рабочем месте вредных производственных факторов, предусмотренных Перечнем, приведенным в приложении № 3, и уровни которых превышают установленные нормативы (пункт 2); норма бесплатной выдачи молока составляет 0,5 литра за смену независимо от продолжительности смены (пункт 4).</w:t>
      </w:r>
    </w:p>
    <w:p w14:paraId="02064B17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в своих возражениях фактически смешивает понятия «рабочая смена» и «ставка». При этом названные понятия для целей трудовых взаимоотношений и бесплатной выдачи лечебно-профилактического питания являются различными.</w:t>
      </w:r>
    </w:p>
    <w:p w14:paraId="467B7158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Как правильно указал суд первой инстанции, понятие </w:t>
      </w:r>
      <w:proofErr w:type="gramStart"/>
      <w:r w:rsidRPr="006C04FE">
        <w:rPr>
          <w:rStyle w:val="sentence"/>
          <w:sz w:val="28"/>
          <w:szCs w:val="28"/>
        </w:rPr>
        <w:t>«смена» это</w:t>
      </w:r>
      <w:proofErr w:type="gramEnd"/>
      <w:r w:rsidRPr="006C04FE">
        <w:rPr>
          <w:rStyle w:val="sentence"/>
          <w:sz w:val="28"/>
          <w:szCs w:val="28"/>
        </w:rPr>
        <w:t xml:space="preserve"> установленная в организации полная продолжительность рабочего дня, установленная для определенной категории работников, которая определена для этой категории работников правилами трудового распорядка исходя из продолжительности рабочего времени, предусмотренной для этой категории законом.</w:t>
      </w:r>
    </w:p>
    <w:p w14:paraId="08B81B76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В данном случае вопрос о возможности получения молока поставлен в зависимость от количества часов </w:t>
      </w:r>
      <w:proofErr w:type="spellStart"/>
      <w:r w:rsidRPr="006C04FE">
        <w:rPr>
          <w:rStyle w:val="sentence"/>
          <w:sz w:val="28"/>
          <w:szCs w:val="28"/>
        </w:rPr>
        <w:t>неприрывной</w:t>
      </w:r>
      <w:proofErr w:type="spellEnd"/>
      <w:r w:rsidRPr="006C04FE">
        <w:rPr>
          <w:rStyle w:val="sentence"/>
          <w:sz w:val="28"/>
          <w:szCs w:val="28"/>
        </w:rPr>
        <w:t xml:space="preserve"> работы во вредных условиях (длительность </w:t>
      </w:r>
      <w:proofErr w:type="spellStart"/>
      <w:r w:rsidRPr="006C04FE">
        <w:rPr>
          <w:rStyle w:val="sentence"/>
          <w:sz w:val="28"/>
          <w:szCs w:val="28"/>
        </w:rPr>
        <w:t>неприрывного</w:t>
      </w:r>
      <w:proofErr w:type="spellEnd"/>
      <w:r w:rsidRPr="006C04FE">
        <w:rPr>
          <w:rStyle w:val="sentence"/>
          <w:sz w:val="28"/>
          <w:szCs w:val="28"/>
        </w:rPr>
        <w:t xml:space="preserve"> негативного воздействия на организм человека).</w:t>
      </w:r>
    </w:p>
    <w:p w14:paraId="1A0223DC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Норма бесплатной выдачи молока составляет 0,5 литра за смену независимо от продолжительности смены. Если время работы во вредных условиях труда меньше установленной продолжительности рабочей смены, молоко выдается при выполнении работ в указанных условиях в течение не менее чем половины рабочей смены (пункт 4 Приложения №1 к Приказу № 45н).</w:t>
      </w:r>
    </w:p>
    <w:p w14:paraId="5F2665EB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Так, исходя из буквального смысла названных положений, право на выдачу молока возникает у сотрудника, отработавшего в </w:t>
      </w:r>
      <w:proofErr w:type="spellStart"/>
      <w:r w:rsidRPr="006C04FE">
        <w:rPr>
          <w:rStyle w:val="sentence"/>
          <w:sz w:val="28"/>
          <w:szCs w:val="28"/>
        </w:rPr>
        <w:t>неприрывном</w:t>
      </w:r>
      <w:proofErr w:type="spellEnd"/>
      <w:r w:rsidRPr="006C04FE">
        <w:rPr>
          <w:rStyle w:val="sentence"/>
          <w:sz w:val="28"/>
          <w:szCs w:val="28"/>
        </w:rPr>
        <w:t xml:space="preserve"> режиме не менее 0,5 рабочей смены.</w:t>
      </w:r>
    </w:p>
    <w:p w14:paraId="5F20CEA6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В соответствии со статьей 350 ТК РФ для медицинских работников установлена сокращенная продолжительность рабочего времени не более 39 часов в неделю.</w:t>
      </w:r>
    </w:p>
    <w:p w14:paraId="08A48DD3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При рабочем дне 7,48 часов в день (39 часов в неделю) работник, работавший 0,25 % рабочего дня ежедневно не будет иметь права на получение молока, при этом, если смены будут установлены в ином графике, например - один день в неделю полная смена 7,48 часа или через день по половине смены по 3,54 часа, возникнет право на получение молока.</w:t>
      </w:r>
    </w:p>
    <w:p w14:paraId="2BE19120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в заявлении по настоящему делу указывает, что работник на ставке 0,25% работал у него 1,95 часа в день.</w:t>
      </w:r>
    </w:p>
    <w:p w14:paraId="07893851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Из изложенного следует, что при </w:t>
      </w:r>
      <w:proofErr w:type="spellStart"/>
      <w:r w:rsidRPr="006C04FE">
        <w:rPr>
          <w:rStyle w:val="sentence"/>
          <w:sz w:val="28"/>
          <w:szCs w:val="28"/>
        </w:rPr>
        <w:t>неприрывности</w:t>
      </w:r>
      <w:proofErr w:type="spellEnd"/>
      <w:r w:rsidRPr="006C04FE">
        <w:rPr>
          <w:rStyle w:val="sentence"/>
          <w:sz w:val="28"/>
          <w:szCs w:val="28"/>
        </w:rPr>
        <w:t xml:space="preserve"> вредного воздействия всего 1,95 часа в день, то есть 0,25% рабочей смены, права на получение молока не возникает, в связи с чем затраты на его приобретение не подлежат возмещению за счет средств ОМС.</w:t>
      </w:r>
    </w:p>
    <w:p w14:paraId="36423E0A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Кроме того, при расчете доначислений по названному эпизоду, фонд ссылается на то, что врачу-эндоскописту (количество ставок в табеле - 1 ставка, при количестве ставок по ОМС - 0,5 ставки) молоко выдавалось из </w:t>
      </w:r>
      <w:r w:rsidRPr="006C04FE">
        <w:rPr>
          <w:rStyle w:val="sentence"/>
          <w:sz w:val="28"/>
          <w:szCs w:val="28"/>
        </w:rPr>
        <w:lastRenderedPageBreak/>
        <w:t>расчета 1 литр за смену. В связи с чем снята часть расходов по выдаче молока врачу (в части, превышающей 0,5 литра молока за смену).</w:t>
      </w:r>
    </w:p>
    <w:p w14:paraId="2652CB78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В этой части </w:t>
      </w: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никаких возражений при обращении в арбитражный суд не заявил.</w:t>
      </w:r>
    </w:p>
    <w:p w14:paraId="51547928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Тестирование на COVID-19 не приняты затраты в сумме 82 027 руб. 86 коп.</w:t>
      </w:r>
    </w:p>
    <w:p w14:paraId="30B8E712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В соответствии с санитарно-эпидемиологическими правилами СП 3.1.3597-20 "Профилактика новой коронавирусной инфекции (COVID-19)", утвержденными постановлением Главного государственного санитарного врача Российской Федерации от 22.05.2020 № 15, в целях оперативной организации проведения исследований и противоэпидемических мероприятий обследование на COVID-19 проводится работникам медицинских организаций, имеющих риск инфицирования при профессиональной деятельности, при появлении симптомов, не исключающих COVID-19.</w:t>
      </w:r>
    </w:p>
    <w:p w14:paraId="40857AD3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Согласно абзацу 12 части 2 статьи 212 и части 2 статьи 213 ТК РФ, работодатель за счет собственных средств обязан организовать проведение, в том числе обязательных периодических (в течение трудовой деятельности) и внеочередных медицинских осмотров, некоторых категорий работников, в том числе работников медицинских организаций, в целях охраны здоровья населения, предупреждения возникновения и распространения заболеваний.</w:t>
      </w:r>
    </w:p>
    <w:p w14:paraId="5BC5CFF6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Таким образом, работникам организаций, в том числе медицинских, имеющим риски инфицирования COVID-19, но не имеющим симптомов инфекционного заболевания, взятие мазка из </w:t>
      </w:r>
      <w:proofErr w:type="spellStart"/>
      <w:r w:rsidRPr="006C04FE">
        <w:rPr>
          <w:rStyle w:val="sentence"/>
          <w:sz w:val="28"/>
          <w:szCs w:val="28"/>
        </w:rPr>
        <w:t>носо</w:t>
      </w:r>
      <w:proofErr w:type="spellEnd"/>
      <w:r w:rsidRPr="006C04FE">
        <w:rPr>
          <w:rStyle w:val="sentence"/>
          <w:sz w:val="28"/>
          <w:szCs w:val="28"/>
        </w:rPr>
        <w:t>- и ротоглотки для проведения обследования на COVID-19 осуществляется за счет средств работодателя.</w:t>
      </w:r>
    </w:p>
    <w:p w14:paraId="4EC7EC01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Согласно пункту 1 статьи 3 Федерального закона от 29.11.2010 N 326-ФЗ "Об обязательном медицинском страховании в Российской Федерации" (далее - Закон № 326-ФЗ) обязательное медицинское страхование - вид обязательного социального страхования, представляющий собой систему создаваемых государством правовых, экономических и организационных мер, направленных на обеспечение при наступлении страхового случая гарантий бесплатного оказания застрахованному лицу медицинской помощи за счет средств обязательного медицинского страхования в пределах территориальной программы обязательного медицинского страхования и в установленных Федеральным законом № 326-ФЗ случаях в пределах базовой программы обязательного медицинского страхования.</w:t>
      </w:r>
    </w:p>
    <w:p w14:paraId="66B5C1D2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В соответствии с частью 4 статьи 35 Закона № 326-ФЗ страховое обеспечение в соответствии с базовой программой обязательного медицинского страхования устанавливается исходя из стандартов медицинской помощи и порядков оказания медицинской помощи, установленных уполномоченным федеральным органом исполнительной власти.</w:t>
      </w:r>
    </w:p>
    <w:p w14:paraId="65D97EDC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Пунктом 4 статьи 3 Закона № 326-ФЗ установлено, что страховой случай - совершившееся событие (заболевание, травма, иное состояние здоровья застрахованного лица, профилактические мероприятия), при наступлении </w:t>
      </w:r>
      <w:r w:rsidRPr="006C04FE">
        <w:rPr>
          <w:rStyle w:val="sentence"/>
          <w:sz w:val="28"/>
          <w:szCs w:val="28"/>
        </w:rPr>
        <w:lastRenderedPageBreak/>
        <w:t>которого застрахованному лицу предоставляется страховое обеспечение по обязательному медицинскому страхованию.</w:t>
      </w:r>
    </w:p>
    <w:p w14:paraId="63E4BB80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Перечень случаев, при наступлении которых в рамках базовой программы обязательного медицинского страхования оказываются первичная медико- санитарная помощь, включая профилактическую помощь, скорая медицинская помощь (за исключением санитарно-авиационной эвакуации, осуществляемой воздушными судами), специализированная медицинская помощь, в том числе высокотехнологичная медицинская помощь, установлен частью 6 статьи 35 Закона № 326-ФЗ.</w:t>
      </w:r>
    </w:p>
    <w:p w14:paraId="58FA07D2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Временными методическими рекомендациями "Профилактика, диагностика и лечение новой коронавирусной инфекции (COVID -19). Версия 7 (03.06.2020)" (утвержденными Министерством здравоохранения Российской Федерации), определены категории лиц, которым лабораторное обследование на COVID-19 проводится в обязательном порядке.</w:t>
      </w:r>
    </w:p>
    <w:p w14:paraId="0B0AF9D4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По решению врача лабораторное обследование на COVID-19 рекомендуется проводить всем лицам с признаками острой респираторной инфекции.</w:t>
      </w:r>
    </w:p>
    <w:p w14:paraId="3F1EFB21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Таким образом, за счет средств обязательного медицинского страхования оплачиваются лабораторные исследования на новую коронавирусную инфекцию (COVID-19) в пробах, отобранных у застрахованных лиц с признаками острой респираторной инфекции по направлению лечащего врача.</w:t>
      </w:r>
    </w:p>
    <w:p w14:paraId="2294F4E9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отнес затраты на тестирование работников на COVID-19 на ОМС в нарушение выше названных норм, работники имеющих риск инфицирования при профессиональной деятельности, при появлении симптомов, не исключающих COVID-19 должны были тестироваться за счет собственных средств </w:t>
      </w:r>
      <w:r w:rsidRPr="006C04FE">
        <w:rPr>
          <w:rStyle w:val="claimant"/>
          <w:sz w:val="28"/>
          <w:szCs w:val="28"/>
        </w:rPr>
        <w:t>заявителя</w:t>
      </w:r>
      <w:r w:rsidRPr="006C04FE">
        <w:rPr>
          <w:rStyle w:val="sentence"/>
          <w:sz w:val="28"/>
          <w:szCs w:val="28"/>
        </w:rPr>
        <w:t xml:space="preserve"> согласно положениями статей 212 и 213 ТК РФ; все застрахованные по ОМС граждане, в том числе и работники </w:t>
      </w:r>
      <w:r w:rsidRPr="006C04FE">
        <w:rPr>
          <w:rStyle w:val="claimant"/>
          <w:sz w:val="28"/>
          <w:szCs w:val="28"/>
        </w:rPr>
        <w:t>заявителя</w:t>
      </w:r>
      <w:r w:rsidRPr="006C04FE">
        <w:rPr>
          <w:rStyle w:val="sentence"/>
          <w:sz w:val="28"/>
          <w:szCs w:val="28"/>
        </w:rPr>
        <w:t>, с признаками острой респираторной инфекции могли быть протестированы за счет средств ОМС только по направлению лечащего врача.</w:t>
      </w:r>
    </w:p>
    <w:p w14:paraId="478452E7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Названная правовая позиция разъяснена правоприменителям в письме Федерального фонда обязательного медицинского страхования от 17 июля 2020 года № 8484/30-2/5017.</w:t>
      </w:r>
    </w:p>
    <w:p w14:paraId="3A6D53F7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доказательств проведения тестирования по направлению лечащего врача в материалы дела не предоставил, в связи с чем выводы фонда являются обоснованными.</w:t>
      </w:r>
    </w:p>
    <w:p w14:paraId="0F3B01BA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Затраты на бланочная продукцию - 21 360 руб. 33 коп.</w:t>
      </w:r>
    </w:p>
    <w:p w14:paraId="65BDEBA0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claimant"/>
          <w:sz w:val="28"/>
          <w:szCs w:val="28"/>
        </w:rPr>
        <w:t>Заявитель</w:t>
      </w:r>
      <w:r w:rsidRPr="006C04FE">
        <w:rPr>
          <w:rStyle w:val="sentence"/>
          <w:sz w:val="28"/>
          <w:szCs w:val="28"/>
        </w:rPr>
        <w:t xml:space="preserve"> ссылается на то, что расходы по закупке бланков должны быть отнесены к общехозяйственным расходам, относимым на средства ОМС.</w:t>
      </w:r>
    </w:p>
    <w:p w14:paraId="420535A9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ТФ ОМС города Байконур ссылается на то, что при проведении проверки было выявлено приобретение бланочной продукции на сумму 21 360 руб. 33 коп., используемой при оказании услуг на платной основе.</w:t>
      </w:r>
    </w:p>
    <w:p w14:paraId="5CE87ABF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Доказательств вышеназванного довода фондом в материалы дела не предоставлено и в акте не зафиксировано.</w:t>
      </w:r>
    </w:p>
    <w:p w14:paraId="5DB9CFDF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Из перечня бланков, указанного в акте проверки, однозначно не следует, что они могут быть использованы только при оказании платных медицинских </w:t>
      </w:r>
      <w:r w:rsidRPr="006C04FE">
        <w:rPr>
          <w:rStyle w:val="sentence"/>
          <w:sz w:val="28"/>
          <w:szCs w:val="28"/>
        </w:rPr>
        <w:lastRenderedPageBreak/>
        <w:t xml:space="preserve">услуг, в связи с чем арбитражный суд поддерживает позицию </w:t>
      </w:r>
      <w:r w:rsidRPr="006C04FE">
        <w:rPr>
          <w:rStyle w:val="claimant"/>
          <w:sz w:val="28"/>
          <w:szCs w:val="28"/>
        </w:rPr>
        <w:t>заявителя</w:t>
      </w:r>
      <w:r w:rsidRPr="006C04FE">
        <w:rPr>
          <w:rStyle w:val="sentence"/>
          <w:sz w:val="28"/>
          <w:szCs w:val="28"/>
        </w:rPr>
        <w:t xml:space="preserve"> о том, что расходы на приобретение бланков могут быть отнесены на общехозяйственные нужды для целей отнесения этих затрат на ОМС.</w:t>
      </w:r>
    </w:p>
    <w:p w14:paraId="3C6879B9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Затраты на материальные запасы - 73 035 руб. 02 коп.</w:t>
      </w:r>
    </w:p>
    <w:p w14:paraId="0F1294A3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Согласно пункту 192 Правил ОМС в расчет тарифов ОМС включаются как затраты медицинской организации, непосредственно связанные с оказанием медицинской помощи (медицинской услуги) и потребляемые в процессе ее предоставления, так и затраты, необходимые для обеспечения деятельности медицинской организации в целом, но не потребляемые непосредственно в процессе оказания медицинской помощи (медицинской услуги). К таким затратам, в частности, в силу подпункта 8 пункта 195 Правил относятся затраты на общехозяйственные нужды.</w:t>
      </w:r>
    </w:p>
    <w:p w14:paraId="56DCF04E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Суммы отнесенных </w:t>
      </w:r>
      <w:r w:rsidRPr="006C04FE">
        <w:rPr>
          <w:rStyle w:val="claimant"/>
          <w:sz w:val="28"/>
          <w:szCs w:val="28"/>
        </w:rPr>
        <w:t>заявителем</w:t>
      </w:r>
      <w:r w:rsidRPr="006C04FE">
        <w:rPr>
          <w:rStyle w:val="sentence"/>
          <w:sz w:val="28"/>
          <w:szCs w:val="28"/>
        </w:rPr>
        <w:t xml:space="preserve"> на ОМС затрат – 25 554 руб. 53 коп. (прочие хозяйственные нужды (моющие средства, чистящий порошок, мешки для мусора, бумага) по подразделениям аптеке и газовое хозяйство и – 47 480 руб. 49 коп. затрат «как указано в Акте «на работников Учреждения, должности которых согласно штатному расписанию не относятся к штатным единицам, финансируемым за счет средств ОМС (главный бухгалтер, отдел контрактной службы, подразделение «ДОУ», начальник планово- </w:t>
      </w:r>
      <w:proofErr w:type="spellStart"/>
      <w:r w:rsidRPr="006C04FE">
        <w:rPr>
          <w:rStyle w:val="sentence"/>
          <w:sz w:val="28"/>
          <w:szCs w:val="28"/>
        </w:rPr>
        <w:t>эконбомического</w:t>
      </w:r>
      <w:proofErr w:type="spellEnd"/>
      <w:r w:rsidRPr="006C04FE">
        <w:rPr>
          <w:rStyle w:val="sentence"/>
          <w:sz w:val="28"/>
          <w:szCs w:val="28"/>
        </w:rPr>
        <w:t xml:space="preserve"> отдела, курьер, штукатурщик, заместитель начальника ЦМСЧ № 1 по МТО».</w:t>
      </w:r>
    </w:p>
    <w:p w14:paraId="74FBB7ED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Как правильно указал суд первой инстанции, аптека является структурным подразделением </w:t>
      </w:r>
      <w:r w:rsidRPr="006C04FE">
        <w:rPr>
          <w:rStyle w:val="claimant"/>
          <w:sz w:val="28"/>
          <w:szCs w:val="28"/>
        </w:rPr>
        <w:t>заявителя</w:t>
      </w:r>
      <w:r w:rsidRPr="006C04FE">
        <w:rPr>
          <w:rStyle w:val="sentence"/>
          <w:sz w:val="28"/>
          <w:szCs w:val="28"/>
        </w:rPr>
        <w:t xml:space="preserve"> и работает в системе ОМС, обеспечивает лечебное подразделение по требованиям-накладным медикаментами, изделиями расходного медицинского имущества, медицинскими инструментами, дезинфицирующими средствами, расходным имуществом и реагентами, изготавливает лекарственные средства; Газовое хозяйство эксплуатирует газовые системы для обеспечения медицинским кислородом стационарные отделения больницы.</w:t>
      </w:r>
    </w:p>
    <w:p w14:paraId="77CBE5E5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Указание в акте проверки на то, что расходы понесены на работников учреждения, должности которых согласно штатному расписанию не относятся к штатным единицам, финансируемым за счет средств ОМС, не соответствует фактическим обстоятельствам, поскольку из состава расходов на сумму 47 480 руб. 49 коп. следует, что они понесены не на работников, а на общехозяйственные нужды медицинского учреждения, а фактически являются канцелярскими принадлежностями, необходимыми в деятельности любого юридического лица (бумага, скоросшиватели, скрепки канцелярские, файлы, ручки шариковые, стержни, скобки для степлера).</w:t>
      </w:r>
    </w:p>
    <w:p w14:paraId="643F8A7C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При изложенных обстоятельствах отнесение </w:t>
      </w:r>
      <w:r w:rsidRPr="006C04FE">
        <w:rPr>
          <w:rStyle w:val="claimant"/>
          <w:sz w:val="28"/>
          <w:szCs w:val="28"/>
        </w:rPr>
        <w:t>заявителем</w:t>
      </w:r>
      <w:r w:rsidRPr="006C04FE">
        <w:rPr>
          <w:rStyle w:val="sentence"/>
          <w:sz w:val="28"/>
          <w:szCs w:val="28"/>
        </w:rPr>
        <w:t xml:space="preserve"> на ОМС затраты на общехозяйственные нужды в общей сумме 73 035 руб. 02 коп. является законным и обоснованным.</w:t>
      </w:r>
    </w:p>
    <w:p w14:paraId="74B0A078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На основании изложенного, суд первой инстанции пришел к правильному выводу о наличии оснований для признания незаконным акта плановой комплексной проверки использования средств обязательного медицинского </w:t>
      </w:r>
      <w:r w:rsidRPr="006C04FE">
        <w:rPr>
          <w:rStyle w:val="sentence"/>
          <w:sz w:val="28"/>
          <w:szCs w:val="28"/>
        </w:rPr>
        <w:lastRenderedPageBreak/>
        <w:t>страхования от 29.04.2021 в части отнесения к нецелевым расходам суммы 94 395 руб. 35 коп. (21 360 руб. 33 коп. + 73 035 руб. 02 коп. = 94 395 руб. 35 коп.).</w:t>
      </w:r>
    </w:p>
    <w:p w14:paraId="37090B3D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Возражениями, изложенными в жалобе, не опровергаются выводы суда первой инстанции. Несогласие с толкованием судом первой инстанции норм права, подлежащих применению в деле, не свидетельствует о том, что судом допущены нарушения, не позволившие всесторонне, полно и объективно рассмотреть дело.</w:t>
      </w:r>
    </w:p>
    <w:p w14:paraId="7100EF82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Доводы апелляционной жалобы проверены апелляционным судом и отклонены, поскольку, основаны на неправильном толковании норм действующего законодательства и не могут повлиять на законность и обоснованность принятого судом первой инстанции решения.</w:t>
      </w:r>
    </w:p>
    <w:p w14:paraId="4BF151F3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claimant"/>
          <w:sz w:val="28"/>
          <w:szCs w:val="28"/>
        </w:rPr>
        <w:t>Заявителем</w:t>
      </w:r>
      <w:r w:rsidRPr="006C04FE">
        <w:rPr>
          <w:rStyle w:val="sentence"/>
          <w:sz w:val="28"/>
          <w:szCs w:val="28"/>
        </w:rPr>
        <w:t xml:space="preserve"> апелляционной жалобы не приведено фактов, которые не были учтены судом первой инстанции при рассмотрении дела и имели бы юридическое значение для вынесения судебного акта по существу.</w:t>
      </w:r>
    </w:p>
    <w:p w14:paraId="03E1BDB5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Учитывая изложенное выше, апелляционная жалоба не подлежит удовлетворению.</w:t>
      </w:r>
    </w:p>
    <w:p w14:paraId="063787D9" w14:textId="77777777" w:rsidR="00334801" w:rsidRPr="006C04FE" w:rsidRDefault="00C309BB">
      <w:pPr>
        <w:pStyle w:val="a5"/>
        <w:spacing w:after="0"/>
        <w:ind w:firstLine="567"/>
        <w:divId w:val="1920409258"/>
        <w:rPr>
          <w:rStyle w:val="sentence"/>
          <w:sz w:val="28"/>
          <w:szCs w:val="28"/>
        </w:rPr>
      </w:pPr>
      <w:r w:rsidRPr="006C04FE">
        <w:rPr>
          <w:rStyle w:val="sentence"/>
          <w:sz w:val="28"/>
          <w:szCs w:val="28"/>
        </w:rPr>
        <w:t>Руководствуясь статьями 266, 268, пунктом 1 статьи 269, статьей 271 Арбитражного процессуального кодекса Российской Федерации, суд</w:t>
      </w:r>
    </w:p>
    <w:p w14:paraId="1B634110" w14:textId="77777777" w:rsidR="00334801" w:rsidRPr="006C04FE" w:rsidRDefault="00334801">
      <w:pPr>
        <w:pStyle w:val="a5"/>
        <w:spacing w:after="0"/>
        <w:ind w:firstLine="567"/>
        <w:divId w:val="1920409258"/>
        <w:rPr>
          <w:sz w:val="28"/>
          <w:szCs w:val="28"/>
        </w:rPr>
      </w:pPr>
    </w:p>
    <w:p w14:paraId="49C3C340" w14:textId="77777777" w:rsidR="00334801" w:rsidRPr="006C04FE" w:rsidRDefault="00C309BB">
      <w:pPr>
        <w:pStyle w:val="a5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ПОСТАНОВИЛ:</w:t>
      </w:r>
    </w:p>
    <w:p w14:paraId="7626502E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решение Арбитражного суда Московской области от 30 сентября 2021 года по делу № А41-50523/2021 оставить без изменения, апелляционную жалобу - без удовлетворения.</w:t>
      </w:r>
    </w:p>
    <w:p w14:paraId="36DEDE10" w14:textId="77777777" w:rsidR="00334801" w:rsidRPr="006C04FE" w:rsidRDefault="00C309BB">
      <w:pPr>
        <w:pStyle w:val="a5"/>
        <w:spacing w:after="0"/>
        <w:ind w:firstLine="567"/>
        <w:divId w:val="1920409258"/>
        <w:rPr>
          <w:sz w:val="28"/>
          <w:szCs w:val="28"/>
        </w:rPr>
      </w:pPr>
      <w:r w:rsidRPr="006C04FE">
        <w:rPr>
          <w:rStyle w:val="sentence"/>
          <w:sz w:val="28"/>
          <w:szCs w:val="28"/>
        </w:rPr>
        <w:t>Постановление может быть обжаловано в Арбитражный суд Московского округа через Арбитражный суд Московской области в двухмесячный срок со дня его принятия.</w:t>
      </w:r>
    </w:p>
    <w:p w14:paraId="1EF9CE47" w14:textId="77777777" w:rsidR="00334801" w:rsidRPr="006C04FE" w:rsidRDefault="00334801">
      <w:pPr>
        <w:pStyle w:val="a5"/>
        <w:spacing w:after="0"/>
        <w:ind w:right="3" w:firstLine="567"/>
        <w:divId w:val="1920409258"/>
        <w:rPr>
          <w:rStyle w:val="sentence"/>
          <w:sz w:val="28"/>
          <w:szCs w:val="28"/>
        </w:rPr>
      </w:pPr>
    </w:p>
    <w:p w14:paraId="706B31B0" w14:textId="77777777" w:rsidR="00334801" w:rsidRPr="006C04FE" w:rsidRDefault="00334801">
      <w:pPr>
        <w:pStyle w:val="a5"/>
        <w:spacing w:after="0"/>
        <w:ind w:right="3" w:firstLine="567"/>
        <w:divId w:val="1920409258"/>
        <w:rPr>
          <w:rStyle w:val="sentence"/>
          <w:sz w:val="28"/>
          <w:szCs w:val="28"/>
        </w:rPr>
      </w:pPr>
    </w:p>
    <w:p w14:paraId="5B5E1A1B" w14:textId="77777777" w:rsidR="00334801" w:rsidRPr="006C04FE" w:rsidRDefault="00C309BB">
      <w:pPr>
        <w:pStyle w:val="a5"/>
        <w:spacing w:after="0"/>
        <w:ind w:right="3"/>
        <w:divId w:val="1920409258"/>
        <w:rPr>
          <w:rStyle w:val="sentence"/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Председательствующий                                                                      Н.В. </w:t>
      </w:r>
      <w:proofErr w:type="spellStart"/>
      <w:r w:rsidRPr="006C04FE">
        <w:rPr>
          <w:rStyle w:val="sentence"/>
          <w:sz w:val="28"/>
          <w:szCs w:val="28"/>
        </w:rPr>
        <w:t>Диаковская</w:t>
      </w:r>
      <w:proofErr w:type="spellEnd"/>
    </w:p>
    <w:p w14:paraId="441C70AC" w14:textId="77777777" w:rsidR="00334801" w:rsidRPr="006C04FE" w:rsidRDefault="00334801">
      <w:pPr>
        <w:pStyle w:val="a5"/>
        <w:spacing w:after="0"/>
        <w:ind w:right="3"/>
        <w:divId w:val="1920409258"/>
        <w:rPr>
          <w:rStyle w:val="sentence"/>
          <w:sz w:val="28"/>
          <w:szCs w:val="28"/>
        </w:rPr>
      </w:pPr>
    </w:p>
    <w:p w14:paraId="121B61C9" w14:textId="77777777" w:rsidR="00334801" w:rsidRPr="006C04FE" w:rsidRDefault="00C309BB">
      <w:pPr>
        <w:pStyle w:val="a5"/>
        <w:spacing w:after="0"/>
        <w:ind w:right="3"/>
        <w:divId w:val="1920409258"/>
        <w:rPr>
          <w:rStyle w:val="sentence"/>
          <w:sz w:val="28"/>
          <w:szCs w:val="28"/>
        </w:rPr>
      </w:pPr>
      <w:r w:rsidRPr="006C04FE">
        <w:rPr>
          <w:rStyle w:val="sentence"/>
          <w:sz w:val="28"/>
          <w:szCs w:val="28"/>
        </w:rPr>
        <w:t>Судьи                                                                                                     М.А. Немчинова</w:t>
      </w:r>
    </w:p>
    <w:p w14:paraId="3F8313B1" w14:textId="77777777" w:rsidR="00C309BB" w:rsidRPr="006C04FE" w:rsidRDefault="00C309BB">
      <w:pPr>
        <w:pStyle w:val="a5"/>
        <w:spacing w:after="0"/>
        <w:ind w:right="3"/>
        <w:divId w:val="1920409258"/>
        <w:rPr>
          <w:rFonts w:eastAsia="Times New Roman"/>
          <w:sz w:val="28"/>
          <w:szCs w:val="28"/>
        </w:rPr>
      </w:pPr>
      <w:r w:rsidRPr="006C04FE">
        <w:rPr>
          <w:rStyle w:val="sentence"/>
          <w:sz w:val="28"/>
          <w:szCs w:val="28"/>
        </w:rPr>
        <w:t xml:space="preserve">                                                                                                              Э.Г. Хомяков</w:t>
      </w:r>
    </w:p>
    <w:sectPr w:rsidR="00C309BB" w:rsidRPr="006C0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1A"/>
    <w:rsid w:val="000B1B1A"/>
    <w:rsid w:val="00334801"/>
    <w:rsid w:val="006C04FE"/>
    <w:rsid w:val="00C309BB"/>
    <w:rsid w:val="00EE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54A478"/>
  <w15:chartTrackingRefBased/>
  <w15:docId w15:val="{A1ACF719-FCD2-42F4-A910-82A5D7F7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1F3763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nsolas" w:eastAsiaTheme="minorEastAsia" w:hAnsi="Consolas" w:hint="default"/>
    </w:rPr>
  </w:style>
  <w:style w:type="paragraph" w:customStyle="1" w:styleId="msonormal0">
    <w:name w:val="msonormal"/>
    <w:basedOn w:val="a"/>
    <w:uiPriority w:val="99"/>
    <w:pPr>
      <w:spacing w:after="223"/>
      <w:jc w:val="both"/>
    </w:pPr>
  </w:style>
  <w:style w:type="paragraph" w:styleId="a5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contentblock">
    <w:name w:val="content_block"/>
    <w:basedOn w:val="a"/>
    <w:uiPriority w:val="99"/>
    <w:pPr>
      <w:spacing w:before="100" w:beforeAutospacing="1" w:after="100" w:afterAutospacing="1"/>
      <w:ind w:right="357"/>
    </w:pPr>
    <w:rPr>
      <w:rFonts w:ascii="PT Serif" w:hAnsi="PT Serif"/>
    </w:rPr>
  </w:style>
  <w:style w:type="paragraph" w:customStyle="1" w:styleId="references">
    <w:name w:val="references"/>
    <w:basedOn w:val="a"/>
    <w:uiPriority w:val="99"/>
    <w:pPr>
      <w:spacing w:before="100" w:beforeAutospacing="1" w:after="100" w:afterAutospacing="1"/>
    </w:pPr>
    <w:rPr>
      <w:vanish/>
    </w:rPr>
  </w:style>
  <w:style w:type="paragraph" w:customStyle="1" w:styleId="11">
    <w:name w:val="Нижний колонтитул1"/>
    <w:basedOn w:val="a"/>
    <w:uiPriority w:val="99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uiPriority w:val="99"/>
    <w:pPr>
      <w:spacing w:before="100" w:beforeAutospacing="1" w:after="100" w:afterAutospacing="1"/>
    </w:pPr>
  </w:style>
  <w:style w:type="paragraph" w:customStyle="1" w:styleId="content1">
    <w:name w:val="content1"/>
    <w:basedOn w:val="a"/>
    <w:uiPriority w:val="99"/>
    <w:pPr>
      <w:spacing w:before="100" w:beforeAutospacing="1" w:after="100" w:afterAutospacing="1"/>
    </w:pPr>
    <w:rPr>
      <w:sz w:val="21"/>
      <w:szCs w:val="21"/>
    </w:rPr>
  </w:style>
  <w:style w:type="paragraph" w:customStyle="1" w:styleId="align-center">
    <w:name w:val="align-center"/>
    <w:basedOn w:val="a"/>
    <w:uiPriority w:val="99"/>
    <w:pPr>
      <w:spacing w:after="223"/>
      <w:jc w:val="center"/>
    </w:pPr>
  </w:style>
  <w:style w:type="paragraph" w:customStyle="1" w:styleId="align-right">
    <w:name w:val="align-right"/>
    <w:basedOn w:val="a"/>
    <w:uiPriority w:val="99"/>
    <w:pPr>
      <w:spacing w:after="223"/>
      <w:jc w:val="right"/>
    </w:pPr>
  </w:style>
  <w:style w:type="paragraph" w:customStyle="1" w:styleId="align-left">
    <w:name w:val="align-left"/>
    <w:basedOn w:val="a"/>
    <w:uiPriority w:val="99"/>
    <w:pPr>
      <w:spacing w:after="223"/>
    </w:pPr>
  </w:style>
  <w:style w:type="paragraph" w:customStyle="1" w:styleId="doc-parttypetitle">
    <w:name w:val="doc-part_type_title"/>
    <w:basedOn w:val="a"/>
    <w:uiPriority w:val="99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uiPriority w:val="99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uiPriority w:val="99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uiPriority w:val="99"/>
    <w:pPr>
      <w:spacing w:before="1228" w:after="997"/>
    </w:pPr>
    <w:rPr>
      <w:rFonts w:ascii="PT Serif" w:hAnsi="PT Serif"/>
      <w:caps/>
      <w:spacing w:val="48"/>
      <w:sz w:val="39"/>
      <w:szCs w:val="39"/>
    </w:rPr>
  </w:style>
  <w:style w:type="paragraph" w:customStyle="1" w:styleId="docsection">
    <w:name w:val="doc__section"/>
    <w:basedOn w:val="a"/>
    <w:uiPriority w:val="99"/>
    <w:pPr>
      <w:spacing w:before="1140" w:after="797"/>
    </w:pPr>
    <w:rPr>
      <w:rFonts w:ascii="PT Serif" w:hAnsi="PT Serif"/>
      <w:sz w:val="42"/>
      <w:szCs w:val="42"/>
    </w:rPr>
  </w:style>
  <w:style w:type="paragraph" w:customStyle="1" w:styleId="docsection-name">
    <w:name w:val="doc__section-name"/>
    <w:basedOn w:val="a"/>
    <w:uiPriority w:val="99"/>
    <w:pPr>
      <w:spacing w:before="100" w:beforeAutospacing="1" w:after="100" w:afterAutospacing="1"/>
    </w:pPr>
    <w:rPr>
      <w:rFonts w:ascii="PT Serif" w:hAnsi="PT Serif"/>
      <w:i/>
      <w:iCs/>
    </w:rPr>
  </w:style>
  <w:style w:type="paragraph" w:customStyle="1" w:styleId="docsubsection">
    <w:name w:val="doc__subsection"/>
    <w:basedOn w:val="a"/>
    <w:uiPriority w:val="99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uiPriority w:val="99"/>
    <w:pPr>
      <w:spacing w:before="438" w:after="219"/>
    </w:pPr>
    <w:rPr>
      <w:rFonts w:ascii="PT Serif" w:hAnsi="PT Serif"/>
      <w:sz w:val="35"/>
      <w:szCs w:val="35"/>
    </w:rPr>
  </w:style>
  <w:style w:type="paragraph" w:customStyle="1" w:styleId="docarticle">
    <w:name w:val="doc__article"/>
    <w:basedOn w:val="a"/>
    <w:uiPriority w:val="99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uiPriority w:val="99"/>
    <w:pPr>
      <w:spacing w:before="240" w:after="42"/>
    </w:pPr>
    <w:rPr>
      <w:rFonts w:ascii="PT Serif" w:hAnsi="PT Serif"/>
      <w:sz w:val="35"/>
      <w:szCs w:val="35"/>
    </w:rPr>
  </w:style>
  <w:style w:type="paragraph" w:customStyle="1" w:styleId="docparagraph-name">
    <w:name w:val="doc__paragraph-name"/>
    <w:basedOn w:val="a"/>
    <w:uiPriority w:val="99"/>
    <w:pPr>
      <w:spacing w:before="100" w:beforeAutospacing="1" w:after="100" w:afterAutospacing="1"/>
    </w:pPr>
    <w:rPr>
      <w:rFonts w:ascii="PT Serif" w:hAnsi="PT Serif"/>
      <w:i/>
      <w:iCs/>
    </w:rPr>
  </w:style>
  <w:style w:type="paragraph" w:customStyle="1" w:styleId="docsubparagraph">
    <w:name w:val="doc__subparagraph"/>
    <w:basedOn w:val="a"/>
    <w:uiPriority w:val="99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uiPriority w:val="99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uiPriority w:val="99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uiPriority w:val="99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uiPriority w:val="99"/>
    <w:pPr>
      <w:spacing w:before="223" w:after="223"/>
    </w:pPr>
  </w:style>
  <w:style w:type="paragraph" w:customStyle="1" w:styleId="docquestion">
    <w:name w:val="doc__question"/>
    <w:basedOn w:val="a"/>
    <w:uiPriority w:val="99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uiPriority w:val="99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uiPriority w:val="99"/>
    <w:pPr>
      <w:spacing w:after="100" w:afterAutospacing="1"/>
    </w:pPr>
  </w:style>
  <w:style w:type="paragraph" w:customStyle="1" w:styleId="docexpired">
    <w:name w:val="doc__expired"/>
    <w:basedOn w:val="a"/>
    <w:uiPriority w:val="99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uiPriority w:val="99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uiPriority w:val="99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uiPriority w:val="99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character" w:customStyle="1" w:styleId="sentence">
    <w:name w:val="sentence"/>
    <w:basedOn w:val="a0"/>
  </w:style>
  <w:style w:type="character" w:customStyle="1" w:styleId="claimant">
    <w:name w:val="claiman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03231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9258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4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3478</Words>
  <Characters>19827</Characters>
  <Application>Microsoft Office Word</Application>
  <DocSecurity>0</DocSecurity>
  <Lines>165</Lines>
  <Paragraphs>46</Paragraphs>
  <ScaleCrop>false</ScaleCrop>
  <Company/>
  <LinksUpToDate>false</LinksUpToDate>
  <CharactersWithSpaces>23259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4</cp:revision>
  <dcterms:created xsi:type="dcterms:W3CDTF">2022-02-15T06:29:00Z</dcterms:created>
  <dcterms:modified xsi:type="dcterms:W3CDTF">2022-02-15T06:35:00Z</dcterms:modified>
</cp:coreProperties>
</file>