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0BBE" w:rsidRDefault="000C0BBE" w:rsidP="000C0BBE">
      <w:pPr>
        <w:pStyle w:val="ConsPlusTitlePage"/>
      </w:pPr>
      <w:r>
        <w:t xml:space="preserve">Документ предоставлен </w:t>
      </w:r>
      <w:hyperlink r:id="rId6">
        <w:r>
          <w:rPr>
            <w:color w:val="0000FF"/>
          </w:rPr>
          <w:t>КонсультантПлюс</w:t>
        </w:r>
      </w:hyperlink>
      <w:r>
        <w:br/>
      </w:r>
    </w:p>
    <w:p w:rsidR="000C0BBE" w:rsidRDefault="000C0BBE" w:rsidP="000C0BBE">
      <w:pPr>
        <w:pStyle w:val="ConsPlusNormal"/>
        <w:jc w:val="right"/>
      </w:pPr>
      <w:r>
        <w:t xml:space="preserve">"Сайт проекта "Открытая Инспекция Труда" </w:t>
      </w:r>
      <w:hyperlink r:id="rId7">
        <w:r>
          <w:rPr>
            <w:color w:val="0000FF"/>
          </w:rPr>
          <w:t>https://онлайнинспекция.рф</w:t>
        </w:r>
      </w:hyperlink>
      <w:r>
        <w:t>", 2025</w:t>
      </w:r>
    </w:p>
    <w:p w:rsidR="000C0BBE" w:rsidRDefault="000C0BBE" w:rsidP="000C0BBE">
      <w:pPr>
        <w:pStyle w:val="ConsPlusNormal"/>
        <w:jc w:val="both"/>
      </w:pPr>
    </w:p>
    <w:p w:rsidR="000C0BBE" w:rsidRDefault="000C0BBE" w:rsidP="000C0BBE">
      <w:pPr>
        <w:pStyle w:val="ConsPlusNormal"/>
        <w:ind w:firstLine="540"/>
        <w:jc w:val="both"/>
      </w:pPr>
      <w:r>
        <w:rPr>
          <w:b/>
        </w:rPr>
        <w:t>Вопрос:</w:t>
      </w:r>
      <w:r>
        <w:t xml:space="preserve"> "Рекомендованные к устранению. Возможно, допускаются нарушения требований </w:t>
      </w:r>
      <w:hyperlink r:id="rId8">
        <w:r>
          <w:rPr>
            <w:color w:val="0000FF"/>
          </w:rPr>
          <w:t>части 3 статьи 8</w:t>
        </w:r>
      </w:hyperlink>
      <w:r>
        <w:t xml:space="preserve"> Федерального закона от 28.12.2013 N 426-ФЗ "О специальной оценке условий труда". Указанные действия (бездействие) могут привести/приводят к нарушениям следующих обязательных требований: в соответствии с </w:t>
      </w:r>
      <w:hyperlink r:id="rId9">
        <w:r>
          <w:rPr>
            <w:color w:val="0000FF"/>
          </w:rPr>
          <w:t>частью 3 статьи 8</w:t>
        </w:r>
      </w:hyperlink>
      <w:r>
        <w:t xml:space="preserve"> Федерального закона от 28.12.2013 N 426-ФЗ "О специальной оценке условий труда" специальная оценка условий труда проводится в соответствии с методикой ее проведения, утверждаемой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труда, с учетом мнения Российской трехсторонней комиссии по регулированию социально-трудовых отношений. В соответствии с </w:t>
      </w:r>
      <w:hyperlink r:id="rId10">
        <w:r>
          <w:rPr>
            <w:color w:val="0000FF"/>
          </w:rPr>
          <w:t>частью 6 статьи 12</w:t>
        </w:r>
      </w:hyperlink>
      <w:r>
        <w:t xml:space="preserve"> Федерального закона от 28.12.2013 N 426-ФЗ "О специальной оценке условий труда" результаты проведенных исследований (испытаний) и измерений вредных и (или) опасных производственных факторов оформляются протоколами в отношении каждого из этих вредных и (или) опасных производственных факторов, подвергнутых исследованиям (испытаниям) и измерениям. В соответствии с показателями тяжести трудового процесса </w:t>
      </w:r>
      <w:hyperlink r:id="rId11">
        <w:r>
          <w:rPr>
            <w:color w:val="0000FF"/>
          </w:rPr>
          <w:t>Приложения N 13</w:t>
        </w:r>
      </w:hyperlink>
      <w:r>
        <w:t xml:space="preserve"> к Методике проведения специальной оценки условий труда, утвержденной Приказом Минтруда России от 21.11.2023 N 817н, оценка тяжести трудового процесса осуществляется с разделением по половому признаку для мужчин и для женщин. В отчете СОУТ на рабочих местах N 58А и 59А присутствуют и мужчины, и женщины, однако в протоколах оценки тяжести трудового процесса списки параметров, по которым проводились для них измерения, не совпадают. Для устранения признаков нарушения законодательства рекомендовано произвести инструментальные измерения тяжести трудового процесса в соответствии с нормами, установленными для мужчин и для женщин. Информация (выявленное нарушение) в Федеральной государственной информационной системе учета результатов проведения специальной оценки условий труда". Организация, проводившая нам СОУТ, говорит, что с их стороны ничего не нарушено и измерения не противоречат законодательству. Что нам необходимо сделать?</w:t>
      </w:r>
    </w:p>
    <w:p w:rsidR="000C0BBE" w:rsidRDefault="000C0BBE" w:rsidP="000C0BBE">
      <w:pPr>
        <w:pStyle w:val="ConsPlusNormal"/>
        <w:jc w:val="both"/>
      </w:pPr>
    </w:p>
    <w:p w:rsidR="000C0BBE" w:rsidRDefault="000C0BBE" w:rsidP="000C0BBE">
      <w:pPr>
        <w:pStyle w:val="ConsPlusNormal"/>
        <w:ind w:firstLine="540"/>
        <w:jc w:val="both"/>
      </w:pPr>
      <w:r>
        <w:rPr>
          <w:b/>
        </w:rPr>
        <w:t>Ответ:</w:t>
      </w:r>
      <w:r>
        <w:t xml:space="preserve"> Цель специальной оценки условий труда - выявление вредных и (или) опасных производственных факторов и оценка уровня их воздействия на работника с учетом отклонения их фактических значений от установленных нормативов.</w:t>
      </w:r>
    </w:p>
    <w:p w:rsidR="000C0BBE" w:rsidRDefault="000C0BBE" w:rsidP="000C0BBE">
      <w:pPr>
        <w:pStyle w:val="ConsPlusNormal"/>
        <w:ind w:firstLine="540"/>
        <w:jc w:val="both"/>
      </w:pPr>
      <w:r>
        <w:t>В случаях проведения специальной оценки условий труда на рабочем месте, где заняты мужчины и женщины, полагаем, что ввиду различных для них характеристик тяжести и напряженности трудового процесса на указанное рабочее место следует заполнять две Карты специальной оценки условий труда под одним номером, в одну из которых внести характеристики условий труда мужчин, а в другую - женщин.</w:t>
      </w:r>
    </w:p>
    <w:p w:rsidR="000C0BBE" w:rsidRDefault="000C0BBE" w:rsidP="000C0BBE">
      <w:pPr>
        <w:pStyle w:val="ConsPlusNormal"/>
        <w:ind w:firstLine="540"/>
        <w:jc w:val="both"/>
      </w:pPr>
      <w:r>
        <w:t xml:space="preserve">При приеме на работу женщины следует иметь в виду, что работодателю запрещено принимать женщин на работы, которые связаны с подъемом и перемещением вручную тяжестей, превышающих предельно допустимые для них </w:t>
      </w:r>
      <w:hyperlink r:id="rId12">
        <w:r>
          <w:rPr>
            <w:color w:val="0000FF"/>
          </w:rPr>
          <w:t>нормы</w:t>
        </w:r>
      </w:hyperlink>
      <w:r>
        <w:t xml:space="preserve">. То есть если по результатам СОУТ условия труда на рабочем месте связаны с подъемом и перемещением вручную тяжестей, превышающих предельно допустимые для женщин </w:t>
      </w:r>
      <w:hyperlink r:id="rId13">
        <w:r>
          <w:rPr>
            <w:color w:val="0000FF"/>
          </w:rPr>
          <w:t>нормы</w:t>
        </w:r>
      </w:hyperlink>
      <w:r>
        <w:t>, то они не могут быть приняты на указанную работу. Для мужчин таких ограничений не установлено.</w:t>
      </w:r>
    </w:p>
    <w:p w:rsidR="000C0BBE" w:rsidRDefault="000C0BBE" w:rsidP="000C0BBE">
      <w:pPr>
        <w:pStyle w:val="ConsPlusNormal"/>
        <w:ind w:firstLine="540"/>
        <w:jc w:val="both"/>
      </w:pPr>
      <w:r>
        <w:t>Если работодатель не согласен с предостережением, то направляются возражения.</w:t>
      </w:r>
      <w:bookmarkStart w:id="0" w:name="_GoBack"/>
      <w:bookmarkEnd w:id="0"/>
    </w:p>
    <w:p w:rsidR="000C0BBE" w:rsidRDefault="000C0BBE" w:rsidP="000C0BBE">
      <w:pPr>
        <w:pStyle w:val="ConsPlusNormal"/>
        <w:ind w:firstLine="540"/>
        <w:jc w:val="both"/>
      </w:pPr>
      <w:r>
        <w:t>В возражениях указываются:</w:t>
      </w:r>
    </w:p>
    <w:p w:rsidR="000C0BBE" w:rsidRDefault="000C0BBE" w:rsidP="000C0BBE">
      <w:pPr>
        <w:pStyle w:val="ConsPlusNormal"/>
        <w:ind w:firstLine="540"/>
        <w:jc w:val="both"/>
      </w:pPr>
      <w:r>
        <w:t>а) наименование юридического лица, фамилия, имя, отчество (при наличии) индивидуального предпринимателя;</w:t>
      </w:r>
    </w:p>
    <w:p w:rsidR="000C0BBE" w:rsidRDefault="000C0BBE" w:rsidP="000C0BBE">
      <w:pPr>
        <w:pStyle w:val="ConsPlusNormal"/>
        <w:ind w:firstLine="540"/>
        <w:jc w:val="both"/>
      </w:pPr>
      <w:r>
        <w:t>б) идентификационный номер налогоплательщика - юридического лица, индивидуального предпринимателя;</w:t>
      </w:r>
    </w:p>
    <w:p w:rsidR="000C0BBE" w:rsidRDefault="000C0BBE" w:rsidP="000C0BBE">
      <w:pPr>
        <w:pStyle w:val="ConsPlusNormal"/>
        <w:ind w:firstLine="540"/>
        <w:jc w:val="both"/>
      </w:pPr>
      <w:r>
        <w:t>в) дата и номер предостережения, направленного в адрес юридического лица, индивидуального предпринимателя;</w:t>
      </w:r>
    </w:p>
    <w:p w:rsidR="000C0BBE" w:rsidRDefault="000C0BBE" w:rsidP="000C0BBE">
      <w:pPr>
        <w:pStyle w:val="ConsPlusNormal"/>
        <w:ind w:firstLine="540"/>
        <w:jc w:val="both"/>
      </w:pPr>
      <w:r>
        <w:t>г) обоснование позиции в отношении указанных в предостережении действий (бездействия) юридического лица, индивидуального предпринимателя, которые приводят или могут привести к нарушению обязательных требований, требований, установленных муниципальными правовыми актами.</w:t>
      </w:r>
    </w:p>
    <w:p w:rsidR="000C0BBE" w:rsidRDefault="000C0BBE" w:rsidP="000C0BBE">
      <w:pPr>
        <w:pStyle w:val="ConsPlusNormal"/>
        <w:ind w:firstLine="540"/>
        <w:jc w:val="both"/>
      </w:pPr>
      <w:r>
        <w:t>При отсутствии возражений юридическое лицо направляет уведомление об исполнении предостережения.</w:t>
      </w:r>
    </w:p>
    <w:p w:rsidR="000C0BBE" w:rsidRDefault="000C0BBE" w:rsidP="000C0BBE">
      <w:pPr>
        <w:pStyle w:val="ConsPlusNormal"/>
        <w:ind w:firstLine="540"/>
        <w:jc w:val="both"/>
      </w:pPr>
      <w:r>
        <w:t>В уведомлении об исполнении предостережения указываются:</w:t>
      </w:r>
    </w:p>
    <w:p w:rsidR="000C0BBE" w:rsidRDefault="000C0BBE" w:rsidP="000C0BBE">
      <w:pPr>
        <w:pStyle w:val="ConsPlusNormal"/>
        <w:ind w:firstLine="540"/>
        <w:jc w:val="both"/>
      </w:pPr>
      <w:r>
        <w:t xml:space="preserve">а) наименование юридического лица, фамилия, имя, отчество (при наличии) индивидуального </w:t>
      </w:r>
      <w:r>
        <w:lastRenderedPageBreak/>
        <w:t>предпринимателя;</w:t>
      </w:r>
    </w:p>
    <w:p w:rsidR="000C0BBE" w:rsidRDefault="000C0BBE" w:rsidP="000C0BBE">
      <w:pPr>
        <w:pStyle w:val="ConsPlusNormal"/>
        <w:ind w:firstLine="540"/>
        <w:jc w:val="both"/>
      </w:pPr>
      <w:r>
        <w:t>б) идентификационный номер налогоплательщика - юридического лица, индивидуального предпринимателя;</w:t>
      </w:r>
    </w:p>
    <w:p w:rsidR="000C0BBE" w:rsidRDefault="000C0BBE" w:rsidP="000C0BBE">
      <w:pPr>
        <w:pStyle w:val="ConsPlusNormal"/>
        <w:ind w:firstLine="540"/>
        <w:jc w:val="both"/>
      </w:pPr>
      <w:r>
        <w:t>в) дата и номер предостережения, направленного в адрес юридического лица, индивидуального предпринимателя;</w:t>
      </w:r>
    </w:p>
    <w:p w:rsidR="000C0BBE" w:rsidRDefault="000C0BBE" w:rsidP="000C0BBE">
      <w:pPr>
        <w:pStyle w:val="ConsPlusNormal"/>
        <w:ind w:firstLine="540"/>
        <w:jc w:val="both"/>
      </w:pPr>
      <w:r>
        <w:t>г) сведения о принятых по результатам рассмотрения предостережения мерах по обеспечению соблюдения обязательных требований, требований, установленных муниципальными правовыми актами.</w:t>
      </w:r>
    </w:p>
    <w:p w:rsidR="000C0BBE" w:rsidRDefault="000C0BBE" w:rsidP="000C0BBE">
      <w:pPr>
        <w:pStyle w:val="ConsPlusNormal"/>
        <w:jc w:val="both"/>
      </w:pPr>
    </w:p>
    <w:p w:rsidR="000C0BBE" w:rsidRDefault="000C0BBE" w:rsidP="000C0BBE">
      <w:pPr>
        <w:pStyle w:val="ConsPlusNormal"/>
        <w:ind w:firstLine="540"/>
        <w:jc w:val="both"/>
      </w:pPr>
      <w:r>
        <w:rPr>
          <w:b/>
        </w:rPr>
        <w:t>Правовое обоснование:</w:t>
      </w:r>
      <w:r>
        <w:t xml:space="preserve"> Одной из обязанностей работодателя по обеспечению безопасных условий и охраны труда является проведение специальной оценки условий труда в соответствии с законодательством о специальной оценке условий труда (</w:t>
      </w:r>
      <w:hyperlink r:id="rId14">
        <w:r>
          <w:rPr>
            <w:color w:val="0000FF"/>
          </w:rPr>
          <w:t>ч. 3 ст. 214</w:t>
        </w:r>
      </w:hyperlink>
      <w:r>
        <w:t xml:space="preserve"> Трудового кодекса РФ).</w:t>
      </w:r>
    </w:p>
    <w:p w:rsidR="000C0BBE" w:rsidRDefault="000C0BBE" w:rsidP="000C0BBE">
      <w:pPr>
        <w:pStyle w:val="ConsPlusNormal"/>
        <w:ind w:firstLine="540"/>
        <w:jc w:val="both"/>
      </w:pPr>
      <w:r>
        <w:t xml:space="preserve">Порядок проведения специальной оценки условий труда регулируется Федеральным законом от 28.12.2013 N 426-ФЗ "О специальной оценке условий труда" (далее - Федеральный закон N 426-ФЗ), согласно которому специальная оценка условий труда является единым комплексом последовательно осуществляемых мероприятий по идентификации вредных и (или) опасных факторов производственной среды и трудового процесса (далее также - вредные и (или) опасные производственные факторы) и оценке уровня их воздействия на работника с учетом отклонения их фактических значений от установленных уполномоченным Правительством Российской Федерации федеральным органом исполнительной власти нормативов (гигиенических нормативов) условий труда и применения средств индивидуальной и коллективной защиты работников </w:t>
      </w:r>
      <w:hyperlink r:id="rId15">
        <w:r>
          <w:rPr>
            <w:color w:val="0000FF"/>
          </w:rPr>
          <w:t>(ч. 1 ст. 3)</w:t>
        </w:r>
      </w:hyperlink>
      <w:r>
        <w:t>.</w:t>
      </w:r>
    </w:p>
    <w:p w:rsidR="000C0BBE" w:rsidRDefault="000C0BBE" w:rsidP="000C0BBE">
      <w:pPr>
        <w:pStyle w:val="ConsPlusNormal"/>
        <w:ind w:firstLine="540"/>
        <w:jc w:val="both"/>
      </w:pPr>
      <w:r>
        <w:t xml:space="preserve">Согласно </w:t>
      </w:r>
      <w:hyperlink r:id="rId16">
        <w:r>
          <w:rPr>
            <w:color w:val="0000FF"/>
          </w:rPr>
          <w:t>ч. 1 ст. 15</w:t>
        </w:r>
      </w:hyperlink>
      <w:r>
        <w:t xml:space="preserve"> Федерального закона N 426-ФЗ организация, проводящая специальную оценку условий труда, составляет </w:t>
      </w:r>
      <w:hyperlink r:id="rId17">
        <w:r>
          <w:rPr>
            <w:color w:val="0000FF"/>
          </w:rPr>
          <w:t>отчет</w:t>
        </w:r>
      </w:hyperlink>
      <w:r>
        <w:t xml:space="preserve"> о ее проведении, в который включаются в т.ч. карты специальной оценки условий труда, содержащие сведения об установленном экспертом организации, проводящей специальную оценку условий труда, классе (подклассе) условий труда на конкретных рабочих местах.</w:t>
      </w:r>
    </w:p>
    <w:p w:rsidR="000C0BBE" w:rsidRDefault="000C0BBE" w:rsidP="000C0BBE">
      <w:pPr>
        <w:pStyle w:val="ConsPlusNormal"/>
        <w:ind w:firstLine="540"/>
        <w:jc w:val="both"/>
      </w:pPr>
      <w:hyperlink r:id="rId18">
        <w:r>
          <w:rPr>
            <w:color w:val="0000FF"/>
          </w:rPr>
          <w:t>Статья 253</w:t>
        </w:r>
      </w:hyperlink>
      <w:r>
        <w:t xml:space="preserve"> ТК РФ устанавливает, что обеспечение охраны здоровья женщин осуществляется путем ограничения применения их труда на работах с вредными и (или) опасными условиями труда, а также на подземных работах (за исключением нефизических работ, работ по санитарному и бытовому обслуживанию, обучения и прохождения стажировки).</w:t>
      </w:r>
    </w:p>
    <w:p w:rsidR="000C0BBE" w:rsidRDefault="000C0BBE" w:rsidP="000C0BBE">
      <w:pPr>
        <w:pStyle w:val="ConsPlusNormal"/>
        <w:ind w:firstLine="540"/>
        <w:jc w:val="both"/>
      </w:pPr>
      <w:r>
        <w:t xml:space="preserve">Ограничивается применение труда женщин на работах, связанных с подъемом и перемещением вручную тяжестей, превышающих предельно допустимые для них </w:t>
      </w:r>
      <w:hyperlink r:id="rId19">
        <w:r>
          <w:rPr>
            <w:color w:val="0000FF"/>
          </w:rPr>
          <w:t>нормы</w:t>
        </w:r>
      </w:hyperlink>
      <w:r>
        <w:t>.</w:t>
      </w:r>
    </w:p>
    <w:p w:rsidR="000C0BBE" w:rsidRDefault="000C0BBE" w:rsidP="000C0BBE">
      <w:pPr>
        <w:pStyle w:val="ConsPlusNormal"/>
        <w:ind w:firstLine="540"/>
        <w:jc w:val="both"/>
      </w:pPr>
      <w:r>
        <w:t xml:space="preserve">Постановлением Правительства Российской Федерации от 10 февраля 2017 года N 166 утверждены </w:t>
      </w:r>
      <w:hyperlink r:id="rId20">
        <w:r>
          <w:rPr>
            <w:color w:val="0000FF"/>
          </w:rPr>
          <w:t>Правила</w:t>
        </w:r>
      </w:hyperlink>
      <w:r>
        <w:t xml:space="preserve"> составления и направления предостережения о недопустимости нарушения обязательных требований, подачи юридическим лицом, индивидуальным предпринимателем возражений на такое предостережение и их рассмотрения, уведомления об исполнении такого предостережения (далее - Правила).</w:t>
      </w:r>
    </w:p>
    <w:p w:rsidR="000C0BBE" w:rsidRDefault="000C0BBE" w:rsidP="000C0BBE">
      <w:pPr>
        <w:pStyle w:val="ConsPlusNormal"/>
        <w:ind w:firstLine="540"/>
        <w:jc w:val="both"/>
      </w:pPr>
      <w:r>
        <w:t>В соответствии с пунктами 7 - 9 Правил:</w:t>
      </w:r>
    </w:p>
    <w:p w:rsidR="000C0BBE" w:rsidRDefault="000C0BBE" w:rsidP="000C0BBE">
      <w:pPr>
        <w:pStyle w:val="ConsPlusNormal"/>
        <w:ind w:firstLine="540"/>
        <w:jc w:val="both"/>
      </w:pPr>
      <w:hyperlink r:id="rId21">
        <w:r>
          <w:rPr>
            <w:color w:val="0000FF"/>
          </w:rPr>
          <w:t>7.</w:t>
        </w:r>
      </w:hyperlink>
      <w:r>
        <w:t xml:space="preserve"> По результатам рассмотрения предостережения юридическим лицом, индивидуальным предпринимателем могут быть поданы в орган государственного контроля (надзора), орган муниципального контроля, направивший предостережение, возражения.</w:t>
      </w:r>
    </w:p>
    <w:p w:rsidR="000C0BBE" w:rsidRDefault="000C0BBE" w:rsidP="000C0BBE">
      <w:pPr>
        <w:pStyle w:val="ConsPlusNormal"/>
        <w:ind w:firstLine="540"/>
        <w:jc w:val="both"/>
      </w:pPr>
      <w:hyperlink r:id="rId22">
        <w:r>
          <w:rPr>
            <w:color w:val="0000FF"/>
          </w:rPr>
          <w:t>8.</w:t>
        </w:r>
      </w:hyperlink>
      <w:r>
        <w:t xml:space="preserve"> В возражениях указываются:</w:t>
      </w:r>
    </w:p>
    <w:p w:rsidR="000C0BBE" w:rsidRDefault="000C0BBE" w:rsidP="000C0BBE">
      <w:pPr>
        <w:pStyle w:val="ConsPlusNormal"/>
        <w:ind w:firstLine="540"/>
        <w:jc w:val="both"/>
      </w:pPr>
      <w:r>
        <w:t>а) наименование юридического лица, фамилия, имя, отчество (при наличии) индивидуального предпринимателя;</w:t>
      </w:r>
    </w:p>
    <w:p w:rsidR="000C0BBE" w:rsidRDefault="000C0BBE" w:rsidP="000C0BBE">
      <w:pPr>
        <w:pStyle w:val="ConsPlusNormal"/>
        <w:ind w:firstLine="540"/>
        <w:jc w:val="both"/>
      </w:pPr>
      <w:r>
        <w:t>б) идентификационный номер налогоплательщика - юридического лица, индивидуального предпринимателя;</w:t>
      </w:r>
    </w:p>
    <w:p w:rsidR="000C0BBE" w:rsidRDefault="000C0BBE" w:rsidP="000C0BBE">
      <w:pPr>
        <w:pStyle w:val="ConsPlusNormal"/>
        <w:ind w:firstLine="540"/>
        <w:jc w:val="both"/>
      </w:pPr>
      <w:r>
        <w:t>в) дата и номер предостережения, направленного в адрес юридического лица, индивидуального предпринимателя;</w:t>
      </w:r>
    </w:p>
    <w:p w:rsidR="000C0BBE" w:rsidRDefault="000C0BBE" w:rsidP="000C0BBE">
      <w:pPr>
        <w:pStyle w:val="ConsPlusNormal"/>
        <w:ind w:firstLine="540"/>
        <w:jc w:val="both"/>
      </w:pPr>
      <w:r>
        <w:t>г) обоснование позиции в отношении указанных в предостережении действий (бездействия) юридического лица, индивидуального предпринимателя, которые приводят или могут привести к нарушению обязательных требований, требований, установленных муниципальными правовыми актами.</w:t>
      </w:r>
    </w:p>
    <w:p w:rsidR="000C0BBE" w:rsidRDefault="000C0BBE" w:rsidP="000C0BBE">
      <w:pPr>
        <w:pStyle w:val="ConsPlusNormal"/>
        <w:ind w:firstLine="540"/>
        <w:jc w:val="both"/>
      </w:pPr>
      <w:hyperlink r:id="rId23">
        <w:r>
          <w:rPr>
            <w:color w:val="0000FF"/>
          </w:rPr>
          <w:t>9.</w:t>
        </w:r>
      </w:hyperlink>
      <w:r>
        <w:t xml:space="preserve"> Возражения направляются юридическим лицом, индивидуальным предпринимателем в бумажном виде почтовым отправлением в орган государственного контроля (надзора), орган муниципального контроля, либо в виде электронного документа, подписанного усиленной квалифицированной электронной подписью индивидуального предпринимателя, лица, уполномоченного действовать от имени юридического лица, на указанный в предостережении адрес электронной почты органа государственного контроля (надзора), органа муниципального контроля, либо иными указанными в предостережении способами.</w:t>
      </w:r>
    </w:p>
    <w:p w:rsidR="000C0BBE" w:rsidRDefault="000C0BBE" w:rsidP="000C0BBE">
      <w:pPr>
        <w:pStyle w:val="ConsPlusNormal"/>
        <w:ind w:firstLine="540"/>
        <w:jc w:val="both"/>
      </w:pPr>
      <w:r>
        <w:t>Согласно пунктам 11 - 13 Правил:</w:t>
      </w:r>
    </w:p>
    <w:p w:rsidR="000C0BBE" w:rsidRDefault="000C0BBE" w:rsidP="000C0BBE">
      <w:pPr>
        <w:pStyle w:val="ConsPlusNormal"/>
        <w:ind w:firstLine="540"/>
        <w:jc w:val="both"/>
      </w:pPr>
      <w:hyperlink r:id="rId24">
        <w:r>
          <w:rPr>
            <w:color w:val="0000FF"/>
          </w:rPr>
          <w:t>11.</w:t>
        </w:r>
      </w:hyperlink>
      <w:r>
        <w:t xml:space="preserve"> При отсутствии возражений юридическое лицо, индивидуальный предприниматель в указанный в предостережении срок направляет в орган государственного контроля (надзора), орган муниципального контроля уведомление об исполнении предостережения.</w:t>
      </w:r>
    </w:p>
    <w:p w:rsidR="000C0BBE" w:rsidRDefault="000C0BBE" w:rsidP="000C0BBE">
      <w:pPr>
        <w:pStyle w:val="ConsPlusNormal"/>
        <w:ind w:firstLine="540"/>
        <w:jc w:val="both"/>
      </w:pPr>
      <w:hyperlink r:id="rId25">
        <w:r>
          <w:rPr>
            <w:color w:val="0000FF"/>
          </w:rPr>
          <w:t>12.</w:t>
        </w:r>
      </w:hyperlink>
      <w:r>
        <w:t xml:space="preserve"> В уведомлении об исполнении предостережения указываются:</w:t>
      </w:r>
    </w:p>
    <w:p w:rsidR="000C0BBE" w:rsidRDefault="000C0BBE" w:rsidP="000C0BBE">
      <w:pPr>
        <w:pStyle w:val="ConsPlusNormal"/>
        <w:ind w:firstLine="540"/>
        <w:jc w:val="both"/>
      </w:pPr>
      <w:r>
        <w:t>а) наименование юридического лица, фамилия, имя, отчество (при наличии) индивидуального предпринимателя;</w:t>
      </w:r>
    </w:p>
    <w:p w:rsidR="000C0BBE" w:rsidRDefault="000C0BBE" w:rsidP="000C0BBE">
      <w:pPr>
        <w:pStyle w:val="ConsPlusNormal"/>
        <w:ind w:firstLine="540"/>
        <w:jc w:val="both"/>
      </w:pPr>
      <w:r>
        <w:t>б) идентификационный номер налогоплательщика - юридического лица, индивидуального предпринимателя;</w:t>
      </w:r>
    </w:p>
    <w:p w:rsidR="000C0BBE" w:rsidRDefault="000C0BBE" w:rsidP="000C0BBE">
      <w:pPr>
        <w:pStyle w:val="ConsPlusNormal"/>
        <w:ind w:firstLine="540"/>
        <w:jc w:val="both"/>
      </w:pPr>
      <w:r>
        <w:t>в) дата и номер предостережения, направленного в адрес юридического лица, индивидуального предпринимателя;</w:t>
      </w:r>
    </w:p>
    <w:p w:rsidR="000C0BBE" w:rsidRDefault="000C0BBE" w:rsidP="000C0BBE">
      <w:pPr>
        <w:pStyle w:val="ConsPlusNormal"/>
        <w:ind w:firstLine="540"/>
        <w:jc w:val="both"/>
      </w:pPr>
      <w:r>
        <w:t>г) сведения о принятых по результатам рассмотрения предостережения мерах по обеспечению соблюдения обязательных требований, требований, установленных муниципальными правовыми актами.</w:t>
      </w:r>
    </w:p>
    <w:p w:rsidR="000C0BBE" w:rsidRDefault="000C0BBE" w:rsidP="000C0BBE">
      <w:pPr>
        <w:pStyle w:val="ConsPlusNormal"/>
        <w:ind w:firstLine="540"/>
        <w:jc w:val="both"/>
      </w:pPr>
      <w:hyperlink r:id="rId26">
        <w:r>
          <w:rPr>
            <w:color w:val="0000FF"/>
          </w:rPr>
          <w:t>13.</w:t>
        </w:r>
      </w:hyperlink>
      <w:r>
        <w:t xml:space="preserve"> Уведомление направляется юридическим лицом, индивидуальным предпринимателем в бумажном виде почтовым отправлением в орган государственного контроля (надзора), орган муниципального контроля, либо в виде электронного документа, подписанного усиленной квалифицированной электронной подписью индивидуального предпринимателя, лица, уполномоченного действовать от имени юридического лица, на указанный в предостережении адрес электронной почты органа государственного контроля (надзора), муниципального контроля, либо иными указанными в предостережении способами.</w:t>
      </w:r>
    </w:p>
    <w:p w:rsidR="000C0BBE" w:rsidRDefault="000C0BBE" w:rsidP="000C0BBE">
      <w:pPr>
        <w:pStyle w:val="ConsPlusNormal"/>
        <w:jc w:val="both"/>
      </w:pPr>
    </w:p>
    <w:p w:rsidR="000C0BBE" w:rsidRDefault="000C0BBE" w:rsidP="000C0BBE">
      <w:pPr>
        <w:pStyle w:val="ConsPlusNormal"/>
      </w:pPr>
      <w:r>
        <w:t>30.10.2025</w:t>
      </w:r>
    </w:p>
    <w:p w:rsidR="000C0BBE" w:rsidRDefault="000C0BBE" w:rsidP="000C0BBE">
      <w:pPr>
        <w:pStyle w:val="ConsPlusNormal"/>
        <w:jc w:val="both"/>
      </w:pPr>
    </w:p>
    <w:p w:rsidR="000C0BBE" w:rsidRDefault="000C0BBE" w:rsidP="000C0BBE">
      <w:pPr>
        <w:pStyle w:val="ConsPlusNormal"/>
        <w:jc w:val="both"/>
      </w:pPr>
    </w:p>
    <w:p w:rsidR="000C0BBE" w:rsidRDefault="000C0BBE" w:rsidP="000C0BBE">
      <w:pPr>
        <w:pStyle w:val="ConsPlusNormal"/>
        <w:pBdr>
          <w:bottom w:val="single" w:sz="6" w:space="0" w:color="auto"/>
        </w:pBdr>
        <w:jc w:val="both"/>
        <w:rPr>
          <w:sz w:val="2"/>
          <w:szCs w:val="2"/>
        </w:rPr>
      </w:pPr>
    </w:p>
    <w:p w:rsidR="00EF5355" w:rsidRDefault="00EF5355" w:rsidP="000C0BBE">
      <w:pPr>
        <w:spacing w:after="0" w:line="240" w:lineRule="auto"/>
      </w:pPr>
    </w:p>
    <w:sectPr w:rsidR="00EF5355" w:rsidSect="000C0BBE">
      <w:footerReference w:type="default" r:id="rId27"/>
      <w:pgSz w:w="11906" w:h="16838"/>
      <w:pgMar w:top="426" w:right="424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0CD1" w:rsidRDefault="00220CD1" w:rsidP="000C0BBE">
      <w:pPr>
        <w:spacing w:after="0" w:line="240" w:lineRule="auto"/>
      </w:pPr>
      <w:r>
        <w:separator/>
      </w:r>
    </w:p>
  </w:endnote>
  <w:endnote w:type="continuationSeparator" w:id="0">
    <w:p w:rsidR="00220CD1" w:rsidRDefault="00220CD1" w:rsidP="000C0B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45152686"/>
      <w:docPartObj>
        <w:docPartGallery w:val="Page Numbers (Bottom of Page)"/>
        <w:docPartUnique/>
      </w:docPartObj>
    </w:sdtPr>
    <w:sdtContent>
      <w:p w:rsidR="000C0BBE" w:rsidRDefault="000C0BBE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C0BBE" w:rsidRDefault="000C0BB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0CD1" w:rsidRDefault="00220CD1" w:rsidP="000C0BBE">
      <w:pPr>
        <w:spacing w:after="0" w:line="240" w:lineRule="auto"/>
      </w:pPr>
      <w:r>
        <w:separator/>
      </w:r>
    </w:p>
  </w:footnote>
  <w:footnote w:type="continuationSeparator" w:id="0">
    <w:p w:rsidR="00220CD1" w:rsidRDefault="00220CD1" w:rsidP="000C0B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BBE"/>
    <w:rsid w:val="000C0BBE"/>
    <w:rsid w:val="00220CD1"/>
    <w:rsid w:val="00EF5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1D6DC9-9B37-4FB5-B93D-8F0A7A37A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C0B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0C0BB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0C0B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C0BBE"/>
  </w:style>
  <w:style w:type="paragraph" w:styleId="a5">
    <w:name w:val="footer"/>
    <w:basedOn w:val="a"/>
    <w:link w:val="a6"/>
    <w:uiPriority w:val="99"/>
    <w:unhideWhenUsed/>
    <w:rsid w:val="000C0B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C0B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52984&amp;dst=100074" TargetMode="External"/><Relationship Id="rId13" Type="http://schemas.openxmlformats.org/officeDocument/2006/relationships/hyperlink" Target="https://login.consultant.ru/link/?req=doc&amp;base=LAW&amp;n=401226&amp;dst=100010" TargetMode="External"/><Relationship Id="rId18" Type="http://schemas.openxmlformats.org/officeDocument/2006/relationships/hyperlink" Target="https://login.consultant.ru/link/?req=doc&amp;base=LAW&amp;n=515484&amp;dst=2921" TargetMode="External"/><Relationship Id="rId26" Type="http://schemas.openxmlformats.org/officeDocument/2006/relationships/hyperlink" Target="https://login.consultant.ru/link/?req=doc&amp;base=LAW&amp;n=321415&amp;dst=100039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321415&amp;dst=100025" TargetMode="External"/><Relationship Id="rId7" Type="http://schemas.openxmlformats.org/officeDocument/2006/relationships/hyperlink" Target="https://&#1086;&#1085;&#1083;&#1072;&#1081;&#1085;&#1080;&#1085;&#1089;&#1087;&#1077;&#1082;&#1094;&#1080;&#1103;.&#1088;&#1092;" TargetMode="External"/><Relationship Id="rId12" Type="http://schemas.openxmlformats.org/officeDocument/2006/relationships/hyperlink" Target="https://login.consultant.ru/link/?req=doc&amp;base=LAW&amp;n=401226&amp;dst=100010" TargetMode="External"/><Relationship Id="rId17" Type="http://schemas.openxmlformats.org/officeDocument/2006/relationships/hyperlink" Target="https://login.consultant.ru/link/?req=doc&amp;base=LAW&amp;n=463282&amp;dst=101538" TargetMode="External"/><Relationship Id="rId25" Type="http://schemas.openxmlformats.org/officeDocument/2006/relationships/hyperlink" Target="https://login.consultant.ru/link/?req=doc&amp;base=LAW&amp;n=321415&amp;dst=10003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52984&amp;dst=100173" TargetMode="External"/><Relationship Id="rId20" Type="http://schemas.openxmlformats.org/officeDocument/2006/relationships/hyperlink" Target="https://login.consultant.ru/link/?req=doc&amp;base=LAW&amp;n=321415&amp;dst=100044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consultant.ru" TargetMode="External"/><Relationship Id="rId11" Type="http://schemas.openxmlformats.org/officeDocument/2006/relationships/hyperlink" Target="https://login.consultant.ru/link/?req=doc&amp;base=LAW&amp;n=463282&amp;dst=101202" TargetMode="External"/><Relationship Id="rId24" Type="http://schemas.openxmlformats.org/officeDocument/2006/relationships/hyperlink" Target="https://login.consultant.ru/link/?req=doc&amp;base=LAW&amp;n=321415&amp;dst=100033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LAW&amp;n=452984&amp;dst=100017" TargetMode="External"/><Relationship Id="rId23" Type="http://schemas.openxmlformats.org/officeDocument/2006/relationships/hyperlink" Target="https://login.consultant.ru/link/?req=doc&amp;base=LAW&amp;n=321415&amp;dst=100031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452984&amp;dst=100114" TargetMode="External"/><Relationship Id="rId19" Type="http://schemas.openxmlformats.org/officeDocument/2006/relationships/hyperlink" Target="https://login.consultant.ru/link/?req=doc&amp;base=LAW&amp;n=401226&amp;dst=10001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452984&amp;dst=100074" TargetMode="External"/><Relationship Id="rId14" Type="http://schemas.openxmlformats.org/officeDocument/2006/relationships/hyperlink" Target="https://login.consultant.ru/link/?req=doc&amp;base=LAW&amp;n=515484&amp;dst=2655" TargetMode="External"/><Relationship Id="rId22" Type="http://schemas.openxmlformats.org/officeDocument/2006/relationships/hyperlink" Target="https://login.consultant.ru/link/?req=doc&amp;base=LAW&amp;n=321415&amp;dst=100026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1738</Words>
  <Characters>9907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2026-08-26T03:12:00Z</dcterms:created>
  <dcterms:modified xsi:type="dcterms:W3CDTF">2026-08-26T03:14:00Z</dcterms:modified>
</cp:coreProperties>
</file>