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451f197593ac4666" /></Relationships>
</file>

<file path=word/document.xml><?xml version="1.0" encoding="utf-8"?>
<w:document xmlns:w="http://schemas.openxmlformats.org/wordprocessingml/2006/main">
  <w:body>
    <w:p>
      <w:pPr>
        <w:pStyle w:val="Heading2"/>
        <w:jc w:val="center"/>
      </w:pPr>
      <w:r>
        <w:rPr>
          <w:color w:val="000000"/>
        </w:rPr>
        <w:t xml:space="preserve">Результаты тестирования №941191</w:t>
      </w:r>
    </w:p>
    <w:p>
      <w:r>
        <w:br/>
      </w:r>
      <w:r>
        <w:rPr>
          <w:b/>
        </w:rPr>
        <w:t xml:space="preserve">1. </w:t>
      </w:r>
      <w:r>
        <w:rPr>
          <w:b/>
        </w:rPr>
        <w:t xml:space="preserve">Лицо, проходящее тестирование: </w:t>
      </w:r>
      <w:r>
        <w:t xml:space="preserve">Змановская Мария Анатольевна</w:t>
      </w:r>
      <w:r>
        <w:br/>
      </w:r>
      <w:r>
        <w:rPr>
          <w:b/>
        </w:rPr>
        <w:t xml:space="preserve">2. </w:t>
      </w:r>
      <w:r>
        <w:rPr>
          <w:b/>
        </w:rPr>
        <w:t xml:space="preserve">Логин: </w:t>
      </w:r>
      <w:r>
        <w:t xml:space="preserve">zmanovskaya_ma</w:t>
      </w:r>
      <w:r>
        <w:br/>
      </w:r>
      <w:r>
        <w:rPr>
          <w:b/>
        </w:rPr>
        <w:t xml:space="preserve">3. </w:t>
      </w:r>
      <w:r>
        <w:rPr>
          <w:b/>
        </w:rPr>
        <w:t xml:space="preserve">Дата и время прохождения тестирования (МСК): </w:t>
      </w:r>
      <w:r>
        <w:t xml:space="preserve">23.09.2024 12:24</w:t>
      </w:r>
      <w:r>
        <w:br/>
      </w:r>
      <w:r>
        <w:rPr>
          <w:b/>
        </w:rPr>
        <w:t xml:space="preserve">4. </w:t>
      </w:r>
      <w:r>
        <w:rPr>
          <w:b/>
        </w:rPr>
        <w:t xml:space="preserve">Длительность прохождения тестирования (часы, минуты): </w:t>
      </w:r>
      <w:r>
        <w:t xml:space="preserve">01:32</w:t>
      </w:r>
      <w:r>
        <w:br/>
      </w:r>
      <w:r>
        <w:rPr>
          <w:b/>
        </w:rPr>
        <w:t xml:space="preserve">5. </w:t>
      </w:r>
      <w:r>
        <w:rPr>
          <w:b/>
        </w:rPr>
        <w:t xml:space="preserve">Наименование организации, проводившей обучение: </w:t>
      </w:r>
      <w:r>
        <w:t xml:space="preserve">Общество с ограниченной ответственностью Региональный Центр Образования "ПрофРазвитие"</w:t>
      </w:r>
      <w:r>
        <w:br/>
      </w:r>
      <w:r>
        <w:rPr>
          <w:b/>
        </w:rPr>
        <w:t xml:space="preserve">6. </w:t>
      </w:r>
      <w:r>
        <w:rPr>
          <w:b/>
        </w:rPr>
        <w:t xml:space="preserve">Программа обучения: </w:t>
      </w:r>
      <w:r>
        <w:t xml:space="preserve">ИД39. Использование (применение) средств индивидуальной защиты</w:t>
      </w:r>
      <w:r>
        <w:br/>
      </w:r>
      <w:r>
        <w:rPr>
          <w:b/>
        </w:rPr>
        <w:t xml:space="preserve">7. </w:t>
      </w:r>
      <w:r>
        <w:rPr>
          <w:b/>
        </w:rPr>
        <w:t xml:space="preserve">Контингент: </w:t>
      </w:r>
      <w:r>
        <w:t xml:space="preserve">КТ3. Руководители подразделений по охране труда и специалисты в области охраны труда организаций (п. 78 ПП №2464)</w:t>
      </w:r>
      <w:r>
        <w:br/>
      </w:r>
      <w:r>
        <w:rPr>
          <w:b/>
        </w:rPr>
        <w:t xml:space="preserve">8. </w:t>
      </w:r>
      <w:r>
        <w:rPr>
          <w:b/>
        </w:rPr>
        <w:t xml:space="preserve">Отрасль: </w:t>
      </w:r>
      <w:r>
        <w:t xml:space="preserve">H. Транспортировка и хранение</w:t>
      </w:r>
      <w:r>
        <w:br/>
      </w:r>
      <w:r>
        <w:rPr>
          <w:b/>
        </w:rPr>
        <w:t xml:space="preserve">9. </w:t>
      </w:r>
      <w:r>
        <w:rPr>
          <w:b/>
        </w:rPr>
        <w:t xml:space="preserve">Автоматизированное место тестирования: </w:t>
      </w:r>
      <w:r>
        <w:t xml:space="preserve">г. Новороссийск, ул. Малоземельская д.15А, офис 25</w:t>
      </w:r>
      <w:r>
        <w:br/>
      </w:r>
      <w:r>
        <w:rPr>
          <w:b/>
        </w:rPr>
        <w:t xml:space="preserve">10. </w:t>
      </w:r>
      <w:r>
        <w:rPr>
          <w:b/>
        </w:rPr>
        <w:t xml:space="preserve">Процент правильных ответов: </w:t>
      </w:r>
      <w:r>
        <w:t xml:space="preserve">93%</w:t>
      </w:r>
      <w:r>
        <w:br/>
      </w:r>
      <w:r>
        <w:rPr>
          <w:b/>
        </w:rPr>
        <w:t xml:space="preserve">11. </w:t>
      </w:r>
      <w:r>
        <w:rPr>
          <w:b/>
        </w:rPr>
        <w:t xml:space="preserve">Результат тестирования: </w:t>
      </w:r>
      <w:r>
        <w:t xml:space="preserve">Удовлетворительно</w:t>
      </w:r>
      <w:r>
        <w:br/>
      </w:r>
      <w:r>
        <w:br/>
      </w:r>
    </w:p>
    <w:tbl>
      <w:tblPr>
        <w:tblStyle w:val="TableGrid"/>
        <w:tblW w:w="5000" w:type="pct"/>
      </w:tblPr>
      <w:tblGrid>
        <w:gridCol/>
        <w:gridCol/>
        <w:gridCol/>
        <w:gridCol/>
      </w:tblGrid>
      <w:tr>
        <w:trPr/>
        <w:tc>
          <w:tcPr>
            <w:tcW w:w="500" w:type="pct"/>
            <w:vAlign w:val="center"/>
          </w:tcPr>
          <w:p>
            <w:r>
              <w:t xml:space="preserve">Номер вопроса</w:t>
            </w:r>
          </w:p>
        </w:tc>
        <w:tc>
          <w:tcPr>
            <w:tcW w:w="750" w:type="pct"/>
            <w:vAlign w:val="center"/>
          </w:tcPr>
          <w:p>
            <w:r>
              <w:t xml:space="preserve">Вопрос</w:t>
            </w:r>
          </w:p>
        </w:tc>
        <w:tc>
          <w:tcPr>
            <w:tcW w:w="750" w:type="pct"/>
            <w:vAlign w:val="center"/>
          </w:tcPr>
          <w:p>
            <w:r>
              <w:t xml:space="preserve">Ответ</w:t>
            </w:r>
          </w:p>
        </w:tc>
        <w:tc>
          <w:tcPr>
            <w:vAlign w:val="center"/>
          </w:tcPr>
          <w:p>
            <w:r>
              <w:t xml:space="preserve">Результат</w:t>
            </w:r>
          </w:p>
        </w:tc>
      </w:tr>
      <w:tr>
        <w:trPr/>
        <w:tc>
          <w:tcPr>
            <w:tcW w:w="250" w:type="pct"/>
            <w:vAlign w:val="center"/>
          </w:tcPr>
          <w:p>
            <w:r>
              <w:t xml:space="preserve">1</w:t>
            </w:r>
          </w:p>
        </w:tc>
        <w:tc>
          <w:tcPr>
            <w:tcW w:w="1500" w:type="pct"/>
            <w:vAlign w:val="center"/>
          </w:tcPr>
          <w:p>
            <w:r>
              <w:t xml:space="preserve">Установите последовательность применения документов для выдачи СИЗ работникам</w:t>
            </w:r>
          </w:p>
        </w:tc>
        <w:tc>
          <w:tcPr>
            <w:tcW w:w="2500" w:type="pct"/>
            <w:vAlign w:val="center"/>
          </w:tcPr>
          <w:p>
            <w:r>
              <w:t xml:space="preserve">1. Типовые отраслевые нормы</w:t>
            </w:r>
            <w:r>
              <w:t xml:space="preserve">2. Типовые нормы сквозных профессий и должностей всех отраслей экономики</w:t>
            </w:r>
            <w:r>
              <w:t xml:space="preserve">3. Типовые нормы, содержащие данные по профессиям с аналогичными условиями труда</w:t>
            </w:r>
            <w:r>
              <w:t xml:space="preserve">4. Правила по охране труда</w:t>
            </w:r>
          </w:p>
        </w:tc>
        <w:tc>
          <w:tcPr>
            <w:tcW w:w="750" w:type="pct"/>
            <w:vAlign w:val="center"/>
          </w:tcPr>
          <w:p>
            <w:r>
              <w:t xml:space="preserve">верно</w:t>
            </w:r>
          </w:p>
        </w:tc>
      </w:tr>
      <w:tr>
        <w:trPr/>
        <w:tc>
          <w:tcPr>
            <w:tcW w:w="250" w:type="pct"/>
            <w:vAlign w:val="center"/>
          </w:tcPr>
          <w:p>
            <w:r>
              <w:t xml:space="preserve">2</w:t>
            </w:r>
          </w:p>
        </w:tc>
        <w:tc>
          <w:tcPr>
            <w:tcW w:w="1500" w:type="pct"/>
            <w:vAlign w:val="center"/>
          </w:tcPr>
          <w:p>
            <w:r>
              <w:t xml:space="preserve">Куда должна быть нанесена маркировка СИЗ в соответствии с требованиями ТР ТС 019/2011 "О безопасности СИЗ"</w:t>
            </w:r>
          </w:p>
        </w:tc>
        <w:tc>
          <w:tcPr>
            <w:tcW w:w="2500" w:type="pct"/>
            <w:vAlign w:val="center"/>
          </w:tcPr>
          <w:p>
            <w:r>
              <w:t xml:space="preserve">1. Маркировка наносится непосредственно на изделие и на его упаковку. Если маркировку невозможно нанести непосредственно на изделие, она наносится на трудноудаляемую этикетку, прикрепленную к изделию</w:t>
            </w:r>
            <w:r>
              <w:br/>
            </w:r>
          </w:p>
        </w:tc>
        <w:tc>
          <w:tcPr>
            <w:tcW w:w="750" w:type="pct"/>
            <w:vAlign w:val="center"/>
          </w:tcPr>
          <w:p>
            <w:r>
              <w:t xml:space="preserve">верно</w:t>
            </w:r>
          </w:p>
        </w:tc>
      </w:tr>
      <w:tr>
        <w:trPr/>
        <w:tc>
          <w:tcPr>
            <w:tcW w:w="250" w:type="pct"/>
            <w:vAlign w:val="center"/>
          </w:tcPr>
          <w:p>
            <w:r>
              <w:t xml:space="preserve">3</w:t>
            </w:r>
          </w:p>
        </w:tc>
        <w:tc>
          <w:tcPr>
            <w:tcW w:w="1500" w:type="pct"/>
            <w:vAlign w:val="center"/>
          </w:tcPr>
          <w:p>
            <w:r>
              <w:t xml:space="preserve">Для предприятий, которые характеризуются пожаровзрывоопасной средой, есть требование, что СИЗ должны изготавливаться из материалов, исключающих искрообразование. Каким образом может быть выполнено данное требование при изготовлении СИЗ? Выберите правильные варианты</w:t>
            </w:r>
          </w:p>
        </w:tc>
        <w:tc>
          <w:tcPr>
            <w:tcW w:w="2500" w:type="pct"/>
            <w:vAlign w:val="center"/>
          </w:tcPr>
          <w:p>
            <w:r>
              <w:t xml:space="preserve">1. Использование тканей из 100% хлопка</w:t>
            </w:r>
            <w:r>
              <w:br/>
            </w:r>
            <w:r>
              <w:t xml:space="preserve">2. Использование антиэлектростатичных материалов</w:t>
            </w:r>
            <w:r>
              <w:br/>
            </w:r>
            <w:r>
              <w:t xml:space="preserve">3. Неприменение металлов</w:t>
            </w:r>
            <w:r>
              <w:br/>
            </w:r>
          </w:p>
        </w:tc>
        <w:tc>
          <w:tcPr>
            <w:tcW w:w="750" w:type="pct"/>
            <w:vAlign w:val="center"/>
          </w:tcPr>
          <w:p>
            <w:r>
              <w:t xml:space="preserve">верно</w:t>
            </w:r>
          </w:p>
        </w:tc>
      </w:tr>
      <w:tr>
        <w:trPr/>
        <w:tc>
          <w:tcPr>
            <w:tcW w:w="250" w:type="pct"/>
            <w:vAlign w:val="center"/>
          </w:tcPr>
          <w:p>
            <w:r>
              <w:t xml:space="preserve">4</w:t>
            </w:r>
          </w:p>
        </w:tc>
        <w:tc>
          <w:tcPr>
            <w:tcW w:w="1500" w:type="pct"/>
            <w:vAlign w:val="center"/>
          </w:tcPr>
          <w:p>
            <w:r>
              <w:t xml:space="preserve">К какому классу по степени риска причинения вреда пользователю, относится средства защиты простой конструкции</w:t>
            </w:r>
          </w:p>
        </w:tc>
        <w:tc>
          <w:tcPr>
            <w:tcW w:w="2500" w:type="pct"/>
            <w:vAlign w:val="center"/>
          </w:tcPr>
          <w:p>
            <w:r>
              <w:t xml:space="preserve">1. К первому</w:t>
            </w:r>
            <w:r>
              <w:br/>
            </w:r>
          </w:p>
        </w:tc>
        <w:tc>
          <w:tcPr>
            <w:tcW w:w="750" w:type="pct"/>
            <w:vAlign w:val="center"/>
          </w:tcPr>
          <w:p>
            <w:r>
              <w:t xml:space="preserve">верно</w:t>
            </w:r>
          </w:p>
        </w:tc>
      </w:tr>
      <w:tr>
        <w:trPr/>
        <w:tc>
          <w:tcPr>
            <w:tcW w:w="250" w:type="pct"/>
            <w:vAlign w:val="center"/>
          </w:tcPr>
          <w:p>
            <w:r>
              <w:t xml:space="preserve">5</w:t>
            </w:r>
          </w:p>
        </w:tc>
        <w:tc>
          <w:tcPr>
            <w:tcW w:w="1500" w:type="pct"/>
            <w:vAlign w:val="center"/>
          </w:tcPr>
          <w:p>
            <w:r>
              <w:t xml:space="preserve">Установите соответствие марки противогазовых фильтров с группами опасных и вредных веществ от которых они обеспечивают защиту</w:t>
            </w:r>
          </w:p>
        </w:tc>
        <w:tc>
          <w:tcPr>
            <w:tcW w:w="2500" w:type="pct"/>
            <w:vAlign w:val="center"/>
          </w:tcPr>
          <w:p>
            <w:r>
              <w:t xml:space="preserve">1. Марка К - От аммиака и его органических производных</w:t>
            </w:r>
            <w:r>
              <w:t xml:space="preserve">2. Марка Е - От диоксида серы и других кислых газов и паров</w:t>
            </w:r>
            <w:r>
              <w:t xml:space="preserve">3. Марка В - От неорганических газов и паров</w:t>
            </w:r>
            <w:r>
              <w:t xml:space="preserve">4. Марка А - От органических газов и паров с температурой кипения свыше 65°С</w:t>
            </w:r>
          </w:p>
        </w:tc>
        <w:tc>
          <w:tcPr>
            <w:tcW w:w="750" w:type="pct"/>
            <w:vAlign w:val="center"/>
          </w:tcPr>
          <w:p>
            <w:r>
              <w:t xml:space="preserve">верно</w:t>
            </w:r>
          </w:p>
        </w:tc>
      </w:tr>
      <w:tr>
        <w:trPr/>
        <w:tc>
          <w:tcPr>
            <w:tcW w:w="250" w:type="pct"/>
            <w:vAlign w:val="center"/>
          </w:tcPr>
          <w:p>
            <w:r>
              <w:t xml:space="preserve">6</w:t>
            </w:r>
          </w:p>
        </w:tc>
        <w:tc>
          <w:tcPr>
            <w:tcW w:w="1500" w:type="pct"/>
            <w:vAlign w:val="center"/>
          </w:tcPr>
          <w:p>
            <w:r>
              <w:t xml:space="preserve">В каких случаях возможно обеспечение работников СИЗ сторонних организаций работодателем принимающей стороны</w:t>
            </w:r>
          </w:p>
        </w:tc>
        <w:tc>
          <w:tcPr>
            <w:tcW w:w="2500" w:type="pct"/>
            <w:vAlign w:val="center"/>
          </w:tcPr>
          <w:p>
            <w:r>
              <w:t xml:space="preserve">1. В отдельных случаях, когда выдача и возврат СИЗ невозможны в силу соблюдения требований законодательства Российской Федерации по обеспечению радиационной, биологической и химической безопасности, возможно, но за счет средств работодателя сторонней организации</w:t>
            </w:r>
            <w:r>
              <w:br/>
            </w:r>
          </w:p>
        </w:tc>
        <w:tc>
          <w:tcPr>
            <w:tcW w:w="750" w:type="pct"/>
            <w:vAlign w:val="center"/>
          </w:tcPr>
          <w:p>
            <w:r>
              <w:t xml:space="preserve">верно</w:t>
            </w:r>
          </w:p>
        </w:tc>
      </w:tr>
      <w:tr>
        <w:trPr/>
        <w:tc>
          <w:tcPr>
            <w:tcW w:w="250" w:type="pct"/>
            <w:vAlign w:val="center"/>
          </w:tcPr>
          <w:p>
            <w:r>
              <w:t xml:space="preserve">7</w:t>
            </w:r>
          </w:p>
        </w:tc>
        <w:tc>
          <w:tcPr>
            <w:tcW w:w="1500" w:type="pct"/>
            <w:vAlign w:val="center"/>
          </w:tcPr>
          <w:p>
            <w:r>
              <w:t xml:space="preserve">Сопоставьте и соедините правильные соответствия вида защиты спецодежды от общих производственных загрязнений и механических воздействий с буквенным обозначение этих защитных свойств</w:t>
            </w:r>
          </w:p>
        </w:tc>
        <w:tc>
          <w:tcPr>
            <w:tcW w:w="2500" w:type="pct"/>
            <w:vAlign w:val="center"/>
          </w:tcPr>
          <w:p>
            <w:r>
              <w:t xml:space="preserve">1. Спецодежда для защиты от механических воздействий возможного захвата движущимися частями механизмов - Мд</w:t>
            </w:r>
            <w:r>
              <w:t xml:space="preserve">2. Спецодежда для защиты от механических воздействий прокола и пореза (Мп) - Мп</w:t>
            </w:r>
            <w:r>
              <w:t xml:space="preserve">3. Спецодежда для защиты от общих производственных загрязнений облегчения - З</w:t>
            </w:r>
            <w:r>
              <w:t xml:space="preserve">4. Спецодежда для защиты от общих производственных загрязнений - Зо</w:t>
            </w:r>
            <w:r>
              <w:t xml:space="preserve">5. Спецодежда для защиты от механических воздействий истирания (Ми) - Ми</w:t>
            </w:r>
          </w:p>
        </w:tc>
        <w:tc>
          <w:tcPr>
            <w:tcW w:w="750" w:type="pct"/>
            <w:vAlign w:val="center"/>
          </w:tcPr>
          <w:p>
            <w:r>
              <w:t xml:space="preserve">неверно</w:t>
            </w:r>
          </w:p>
        </w:tc>
      </w:tr>
      <w:tr>
        <w:trPr/>
        <w:tc>
          <w:tcPr>
            <w:tcW w:w="250" w:type="pct"/>
            <w:vAlign w:val="center"/>
          </w:tcPr>
          <w:p>
            <w:r>
              <w:t xml:space="preserve">8</w:t>
            </w:r>
          </w:p>
        </w:tc>
        <w:tc>
          <w:tcPr>
            <w:tcW w:w="1500" w:type="pct"/>
            <w:vAlign w:val="center"/>
          </w:tcPr>
          <w:p>
            <w:r>
              <w:t xml:space="preserve">Сопоставьте обозначение и расшифровку защитного свойства для СИЗ рук</w:t>
            </w:r>
          </w:p>
        </w:tc>
        <w:tc>
          <w:tcPr>
            <w:tcW w:w="2500" w:type="pct"/>
            <w:vAlign w:val="center"/>
          </w:tcPr>
          <w:p>
            <w:r>
              <w:t xml:space="preserve">1. От нефтяных масел и продуктов тяжелых фракций - Нм</w:t>
            </w:r>
            <w:r>
              <w:t xml:space="preserve">2. От твердых нефтепродуктов - Нт</w:t>
            </w:r>
            <w:r>
              <w:t xml:space="preserve">3. От растительных и животных масел и жиров - Нж</w:t>
            </w:r>
            <w:r>
              <w:t xml:space="preserve">4. От сырой нефти - Нс</w:t>
            </w:r>
          </w:p>
        </w:tc>
        <w:tc>
          <w:tcPr>
            <w:tcW w:w="750" w:type="pct"/>
            <w:vAlign w:val="center"/>
          </w:tcPr>
          <w:p>
            <w:r>
              <w:t xml:space="preserve">верно</w:t>
            </w:r>
          </w:p>
        </w:tc>
      </w:tr>
      <w:tr>
        <w:trPr/>
        <w:tc>
          <w:tcPr>
            <w:tcW w:w="250" w:type="pct"/>
            <w:vAlign w:val="center"/>
          </w:tcPr>
          <w:p>
            <w:r>
              <w:t xml:space="preserve">9</w:t>
            </w:r>
          </w:p>
        </w:tc>
        <w:tc>
          <w:tcPr>
            <w:tcW w:w="1500" w:type="pct"/>
            <w:vAlign w:val="center"/>
          </w:tcPr>
          <w:p>
            <w:r>
              <w:t xml:space="preserve">К какой категории СИЗОД относится шахтный самоспасатель</w:t>
            </w:r>
          </w:p>
        </w:tc>
        <w:tc>
          <w:tcPr>
            <w:tcW w:w="2500" w:type="pct"/>
            <w:vAlign w:val="center"/>
          </w:tcPr>
          <w:p>
            <w:r>
              <w:t xml:space="preserve">1. Самоспасатель изолирующий с твердым источником кислорода (химически связанным кислородом)</w:t>
            </w:r>
            <w:r>
              <w:br/>
            </w:r>
          </w:p>
        </w:tc>
        <w:tc>
          <w:tcPr>
            <w:tcW w:w="750" w:type="pct"/>
            <w:vAlign w:val="center"/>
          </w:tcPr>
          <w:p>
            <w:r>
              <w:t xml:space="preserve">верно</w:t>
            </w:r>
          </w:p>
        </w:tc>
      </w:tr>
      <w:tr>
        <w:trPr/>
        <w:tc>
          <w:tcPr>
            <w:tcW w:w="250" w:type="pct"/>
            <w:vAlign w:val="center"/>
          </w:tcPr>
          <w:p>
            <w:r>
              <w:t xml:space="preserve">10</w:t>
            </w:r>
          </w:p>
        </w:tc>
        <w:tc>
          <w:tcPr>
            <w:tcW w:w="1500" w:type="pct"/>
            <w:vAlign w:val="center"/>
          </w:tcPr>
          <w:p>
            <w:r>
              <w:t xml:space="preserve">Какая из перечисленных пиктограмм не описывает защитное свойство СИЗ в соответствии с ТР ТС 019/2011 "О безопасности средств индивидуальной защиты"</w:t>
            </w:r>
          </w:p>
        </w:tc>
        <w:tc>
          <w:tcPr>
            <w:tcW w:w="2500" w:type="pct"/>
            <w:vAlign w:val="center"/>
          </w:tcPr>
          <w:p>
            <w:r>
              <w:t xml:space="preserve">1. Рисунок</w:t>
            </w:r>
            <w:r>
              <w:br/>
            </w:r>
          </w:p>
        </w:tc>
        <w:tc>
          <w:tcPr>
            <w:tcW w:w="750" w:type="pct"/>
            <w:vAlign w:val="center"/>
          </w:tcPr>
          <w:p>
            <w:r>
              <w:t xml:space="preserve">верно</w:t>
            </w:r>
          </w:p>
        </w:tc>
      </w:tr>
      <w:tr>
        <w:trPr/>
        <w:tc>
          <w:tcPr>
            <w:tcW w:w="250" w:type="pct"/>
            <w:vAlign w:val="center"/>
          </w:tcPr>
          <w:p>
            <w:r>
              <w:t xml:space="preserve">11</w:t>
            </w:r>
          </w:p>
        </w:tc>
        <w:tc>
          <w:tcPr>
            <w:tcW w:w="1500" w:type="pct"/>
            <w:vAlign w:val="center"/>
          </w:tcPr>
          <w:p>
            <w:r>
              <w:t xml:space="preserve">Сопоставьте буквенные обозначения защитных свойств с их описанием</w:t>
            </w:r>
          </w:p>
        </w:tc>
        <w:tc>
          <w:tcPr>
            <w:tcW w:w="2500" w:type="pct"/>
            <w:vAlign w:val="center"/>
          </w:tcPr>
          <w:p>
            <w:r>
              <w:t xml:space="preserve">1. Нж - Защита от растительных и животных масел и жиров</w:t>
            </w:r>
            <w:r>
              <w:t xml:space="preserve">2. Нл - Защита от нефтепродуктов легкой фракции</w:t>
            </w:r>
            <w:r>
              <w:t xml:space="preserve">3. Мун200 - Защита от ударов в носочной части энергией 200 Дж</w:t>
            </w:r>
            <w:r>
              <w:t xml:space="preserve">4. Бнг - Защита от насекомых (гнуса)</w:t>
            </w:r>
            <w:r>
              <w:t xml:space="preserve">5. З - Защита от общих производственных загрязнений</w:t>
            </w:r>
            <w:r>
              <w:t xml:space="preserve">6. Мп - Защита от проколов и/или порезов</w:t>
            </w:r>
          </w:p>
        </w:tc>
        <w:tc>
          <w:tcPr>
            <w:tcW w:w="750" w:type="pct"/>
            <w:vAlign w:val="center"/>
          </w:tcPr>
          <w:p>
            <w:r>
              <w:t xml:space="preserve">верно</w:t>
            </w:r>
          </w:p>
        </w:tc>
      </w:tr>
      <w:tr>
        <w:trPr/>
        <w:tc>
          <w:tcPr>
            <w:tcW w:w="250" w:type="pct"/>
            <w:vAlign w:val="center"/>
          </w:tcPr>
          <w:p>
            <w:r>
              <w:t xml:space="preserve">12</w:t>
            </w:r>
          </w:p>
        </w:tc>
        <w:tc>
          <w:tcPr>
            <w:tcW w:w="1500" w:type="pct"/>
            <w:vAlign w:val="center"/>
          </w:tcPr>
          <w:p>
            <w:r>
              <w:t xml:space="preserve">Может ли одежда для защиты от воды изготавливаться с применением негерметичных швов</w:t>
            </w:r>
          </w:p>
        </w:tc>
        <w:tc>
          <w:tcPr>
            <w:tcW w:w="2500" w:type="pct"/>
            <w:vAlign w:val="center"/>
          </w:tcPr>
          <w:p>
            <w:r>
              <w:t xml:space="preserve">1. В костюмах 1-го и 2-го классов защиты плечевые швы должны быть сварные, с защитными накладками или герметичные; остальные соединительные швы - в соответствии с конструкцией изделия и используемых материалов</w:t>
            </w:r>
            <w:r>
              <w:br/>
            </w:r>
          </w:p>
        </w:tc>
        <w:tc>
          <w:tcPr>
            <w:tcW w:w="750" w:type="pct"/>
            <w:vAlign w:val="center"/>
          </w:tcPr>
          <w:p>
            <w:r>
              <w:t xml:space="preserve">верно</w:t>
            </w:r>
          </w:p>
        </w:tc>
      </w:tr>
      <w:tr>
        <w:trPr/>
        <w:tc>
          <w:tcPr>
            <w:tcW w:w="250" w:type="pct"/>
            <w:vAlign w:val="center"/>
          </w:tcPr>
          <w:p>
            <w:r>
              <w:t xml:space="preserve">13</w:t>
            </w:r>
          </w:p>
        </w:tc>
        <w:tc>
          <w:tcPr>
            <w:tcW w:w="1500" w:type="pct"/>
            <w:vAlign w:val="center"/>
          </w:tcPr>
          <w:p>
            <w:r>
              <w:t xml:space="preserve">Для какого типа СИЗ может применяться буквенное обозначение защитных свойств Тн</w:t>
            </w:r>
          </w:p>
        </w:tc>
        <w:tc>
          <w:tcPr>
            <w:tcW w:w="2500" w:type="pct"/>
            <w:vAlign w:val="center"/>
          </w:tcPr>
          <w:p>
            <w:r>
              <w:t xml:space="preserve">1. Спецодежды и спецобуви</w:t>
            </w:r>
            <w:r>
              <w:br/>
            </w:r>
          </w:p>
        </w:tc>
        <w:tc>
          <w:tcPr>
            <w:tcW w:w="750" w:type="pct"/>
            <w:vAlign w:val="center"/>
          </w:tcPr>
          <w:p>
            <w:r>
              <w:t xml:space="preserve">неверно</w:t>
            </w:r>
          </w:p>
        </w:tc>
      </w:tr>
      <w:tr>
        <w:trPr/>
        <w:tc>
          <w:tcPr>
            <w:tcW w:w="250" w:type="pct"/>
            <w:vAlign w:val="center"/>
          </w:tcPr>
          <w:p>
            <w:r>
              <w:t xml:space="preserve">14</w:t>
            </w:r>
          </w:p>
        </w:tc>
        <w:tc>
          <w:tcPr>
            <w:tcW w:w="1500" w:type="pct"/>
            <w:vAlign w:val="center"/>
          </w:tcPr>
          <w:p>
            <w:r>
              <w:t xml:space="preserve">Установите правильный порядок проведения обслуживания защитных очков</w:t>
            </w:r>
          </w:p>
        </w:tc>
        <w:tc>
          <w:tcPr>
            <w:tcW w:w="2500" w:type="pct"/>
            <w:vAlign w:val="center"/>
          </w:tcPr>
          <w:p>
            <w:r>
              <w:t xml:space="preserve">1. Защитное стекло содержать в чистоте</w:t>
            </w:r>
            <w:r>
              <w:t xml:space="preserve">2. Перед каждым применением осматривать изделие на наличие повреждении: трещин, царапин. При наличии повреждений эксплуатация не разрешается</w:t>
            </w:r>
            <w:r>
              <w:t xml:space="preserve">3. Проверить дату изготовления очков (на изделии и/или упаковке: в формате часов с календарем или в формате месяц/год, или цифровое обозначение, 6 цифр без пробелов)</w:t>
            </w:r>
            <w:r>
              <w:t xml:space="preserve">4. После эксплуатации при загрязнении промыть проточной чистой водой</w:t>
            </w:r>
          </w:p>
        </w:tc>
        <w:tc>
          <w:tcPr>
            <w:tcW w:w="750" w:type="pct"/>
            <w:vAlign w:val="center"/>
          </w:tcPr>
          <w:p>
            <w:r>
              <w:t xml:space="preserve">верно</w:t>
            </w:r>
          </w:p>
        </w:tc>
      </w:tr>
      <w:tr>
        <w:trPr/>
        <w:tc>
          <w:tcPr>
            <w:tcW w:w="250" w:type="pct"/>
            <w:vAlign w:val="center"/>
          </w:tcPr>
          <w:p>
            <w:r>
              <w:t xml:space="preserve">15</w:t>
            </w:r>
          </w:p>
        </w:tc>
        <w:tc>
          <w:tcPr>
            <w:tcW w:w="1500" w:type="pct"/>
            <w:vAlign w:val="center"/>
          </w:tcPr>
          <w:p>
            <w:r>
              <w:t xml:space="preserve">Выберите обязанности работодателя</w:t>
            </w:r>
          </w:p>
        </w:tc>
        <w:tc>
          <w:tcPr>
            <w:tcW w:w="2500" w:type="pct"/>
            <w:vAlign w:val="center"/>
          </w:tcPr>
          <w:p>
            <w:r>
              <w:t xml:space="preserve">1. Контроль за правильностью эксплуатации СИЗ</w:t>
            </w:r>
            <w:r>
              <w:br/>
            </w:r>
            <w:r>
              <w:t xml:space="preserve">2. Хранение и уход за СИЗ</w:t>
            </w:r>
            <w:r>
              <w:br/>
            </w:r>
            <w:r>
              <w:t xml:space="preserve">3. Определение потребности, выбор СИЗ</w:t>
            </w:r>
            <w:r>
              <w:br/>
            </w:r>
          </w:p>
        </w:tc>
        <w:tc>
          <w:tcPr>
            <w:tcW w:w="750" w:type="pct"/>
            <w:vAlign w:val="center"/>
          </w:tcPr>
          <w:p>
            <w:r>
              <w:t xml:space="preserve">верно</w:t>
            </w:r>
          </w:p>
        </w:tc>
      </w:tr>
      <w:tr>
        <w:trPr/>
        <w:tc>
          <w:tcPr>
            <w:tcW w:w="250" w:type="pct"/>
            <w:vAlign w:val="center"/>
          </w:tcPr>
          <w:p>
            <w:r>
              <w:t xml:space="preserve">16</w:t>
            </w:r>
          </w:p>
        </w:tc>
        <w:tc>
          <w:tcPr>
            <w:tcW w:w="1500" w:type="pct"/>
            <w:vAlign w:val="center"/>
          </w:tcPr>
          <w:p>
            <w:r>
              <w:t xml:space="preserve">Какими должны быть действия работодателя в случае, если СИЗ (каска, комплект СИЗ от термического воздействия электрической дуги, СИЗ от падения с высоты) подверглось воздействию ВиОПФ или опасности, при этом предотвратив или снизив нанесение тяжелого вреда жизни или здоровью работника</w:t>
            </w:r>
          </w:p>
        </w:tc>
        <w:tc>
          <w:tcPr>
            <w:tcW w:w="2500" w:type="pct"/>
            <w:vAlign w:val="center"/>
          </w:tcPr>
          <w:p>
            <w:r>
              <w:t xml:space="preserve">1. Незамедлительно вывести из эксплуатации и заменить на новое за счет средств работодателя</w:t>
            </w:r>
            <w:r>
              <w:br/>
            </w:r>
          </w:p>
        </w:tc>
        <w:tc>
          <w:tcPr>
            <w:tcW w:w="750" w:type="pct"/>
            <w:vAlign w:val="center"/>
          </w:tcPr>
          <w:p>
            <w:r>
              <w:t xml:space="preserve">верно</w:t>
            </w:r>
          </w:p>
        </w:tc>
      </w:tr>
      <w:tr>
        <w:trPr/>
        <w:tc>
          <w:tcPr>
            <w:tcW w:w="250" w:type="pct"/>
            <w:vAlign w:val="center"/>
          </w:tcPr>
          <w:p>
            <w:r>
              <w:t xml:space="preserve">17</w:t>
            </w:r>
          </w:p>
        </w:tc>
        <w:tc>
          <w:tcPr>
            <w:tcW w:w="1500" w:type="pct"/>
            <w:vAlign w:val="center"/>
          </w:tcPr>
          <w:p>
            <w:r>
              <w:t xml:space="preserve">Установите последовательность эксплуатации щитков для электросварки с АСФ</w:t>
            </w:r>
          </w:p>
        </w:tc>
        <w:tc>
          <w:tcPr>
            <w:tcW w:w="2500" w:type="pct"/>
            <w:vAlign w:val="center"/>
          </w:tcPr>
          <w:p>
            <w:r>
              <w:t xml:space="preserve">1. Убедиться в отсутствии повреждений или загрязнений оптических поверхностей АСФ</w:t>
            </w:r>
            <w:r>
              <w:t xml:space="preserve">2. Подогнать наголовное крепление по размеру головы вращением маховичка регулировочного устройства и переустановкой штифта в отверстия наголовной ленты</w:t>
            </w:r>
            <w:r>
              <w:t xml:space="preserve">3. Проверить срабатывание АСФ: направить щиток на источник света (например, лампа накаливания мощностью не менее 60 Вт)</w:t>
            </w:r>
            <w:r>
              <w:t xml:space="preserve">4. Проверить регулировку степени затемнения вращением ручки потенциометра, выбрать из таблицы необходимую степень затемнения АСФ</w:t>
            </w:r>
            <w:r>
              <w:t xml:space="preserve">5. Зажечь дугу и откорректировать степень затемнения АСФ</w:t>
            </w:r>
          </w:p>
        </w:tc>
        <w:tc>
          <w:tcPr>
            <w:tcW w:w="750" w:type="pct"/>
            <w:vAlign w:val="center"/>
          </w:tcPr>
          <w:p>
            <w:r>
              <w:t xml:space="preserve">верно</w:t>
            </w:r>
          </w:p>
        </w:tc>
      </w:tr>
      <w:tr>
        <w:trPr/>
        <w:tc>
          <w:tcPr>
            <w:tcW w:w="250" w:type="pct"/>
            <w:vAlign w:val="center"/>
          </w:tcPr>
          <w:p>
            <w:r>
              <w:t xml:space="preserve">18</w:t>
            </w:r>
          </w:p>
        </w:tc>
        <w:tc>
          <w:tcPr>
            <w:tcW w:w="1500" w:type="pct"/>
            <w:vAlign w:val="center"/>
          </w:tcPr>
          <w:p>
            <w:r>
              <w:t xml:space="preserve">Обувь специальная для защиты от механических воздействий (проколов) должна обеспечивать защиту сопротивление сквозному проколу не менее 1200 Н. Определи, какие критерии из перечисленных применимы для обуви специальной для защиты от прокола</w:t>
            </w:r>
          </w:p>
        </w:tc>
        <w:tc>
          <w:tcPr>
            <w:tcW w:w="2500" w:type="pct"/>
            <w:vAlign w:val="center"/>
          </w:tcPr>
          <w:p>
            <w:r>
              <w:t xml:space="preserve">1. Может применяться вмонтированная в подошву стелька из металла</w:t>
            </w:r>
            <w:r>
              <w:br/>
            </w:r>
            <w:r>
              <w:t xml:space="preserve">2. Может применяться несъемная стелька из кевлара</w:t>
            </w:r>
            <w:r>
              <w:br/>
            </w:r>
          </w:p>
        </w:tc>
        <w:tc>
          <w:tcPr>
            <w:tcW w:w="750" w:type="pct"/>
            <w:vAlign w:val="center"/>
          </w:tcPr>
          <w:p>
            <w:r>
              <w:t xml:space="preserve">верно</w:t>
            </w:r>
          </w:p>
        </w:tc>
      </w:tr>
      <w:tr>
        <w:trPr/>
        <w:tc>
          <w:tcPr>
            <w:tcW w:w="250" w:type="pct"/>
            <w:vAlign w:val="center"/>
          </w:tcPr>
          <w:p>
            <w:r>
              <w:t xml:space="preserve">19</w:t>
            </w:r>
          </w:p>
        </w:tc>
        <w:tc>
          <w:tcPr>
            <w:tcW w:w="1500" w:type="pct"/>
            <w:vAlign w:val="center"/>
          </w:tcPr>
          <w:p>
            <w:r>
              <w:t xml:space="preserve">При каком минимально допустимом количестве кислорода во вдыхаемом воздухе не допускается использование фильтрующих средств индивидуальной защиты органов дыхания, в том числе самоспасателей</w:t>
            </w:r>
          </w:p>
        </w:tc>
        <w:tc>
          <w:tcPr>
            <w:tcW w:w="2500" w:type="pct"/>
            <w:vAlign w:val="center"/>
          </w:tcPr>
          <w:p>
            <w:r>
              <w:t xml:space="preserve">1. 0.17</w:t>
            </w:r>
            <w:r>
              <w:br/>
            </w:r>
          </w:p>
        </w:tc>
        <w:tc>
          <w:tcPr>
            <w:tcW w:w="750" w:type="pct"/>
            <w:vAlign w:val="center"/>
          </w:tcPr>
          <w:p>
            <w:r>
              <w:t xml:space="preserve">верно</w:t>
            </w:r>
          </w:p>
        </w:tc>
      </w:tr>
      <w:tr>
        <w:trPr/>
        <w:tc>
          <w:tcPr>
            <w:tcW w:w="250" w:type="pct"/>
            <w:vAlign w:val="center"/>
          </w:tcPr>
          <w:p>
            <w:r>
              <w:t xml:space="preserve">20</w:t>
            </w:r>
          </w:p>
        </w:tc>
        <w:tc>
          <w:tcPr>
            <w:tcW w:w="1500" w:type="pct"/>
            <w:vAlign w:val="center"/>
          </w:tcPr>
          <w:p>
            <w:r>
              <w:t xml:space="preserve">Установите соответствие между классами защиты одежды от пониженных температур и климатическими поясами (регионами)</w:t>
            </w:r>
          </w:p>
        </w:tc>
        <w:tc>
          <w:tcPr>
            <w:tcW w:w="2500" w:type="pct"/>
            <w:vAlign w:val="center"/>
          </w:tcPr>
          <w:p>
            <w:r>
              <w:t xml:space="preserve">1. 2-й класс защиты - III климатический пояс (регион II)</w:t>
            </w:r>
            <w:r>
              <w:t xml:space="preserve">2. 3-й класс защиты - IV климатический пояс (регион IБ)</w:t>
            </w:r>
            <w:r>
              <w:t xml:space="preserve">3. 4-й класс защиты - "Особый" климатический пояс (регион IA)</w:t>
            </w:r>
            <w:r>
              <w:t xml:space="preserve">4. 1-й класс защиты - I-II климатические пояса (регионы IV-III)</w:t>
            </w:r>
          </w:p>
        </w:tc>
        <w:tc>
          <w:tcPr>
            <w:tcW w:w="750" w:type="pct"/>
            <w:vAlign w:val="center"/>
          </w:tcPr>
          <w:p>
            <w:r>
              <w:t xml:space="preserve">верно</w:t>
            </w:r>
          </w:p>
        </w:tc>
      </w:tr>
      <w:tr>
        <w:trPr/>
        <w:tc>
          <w:tcPr>
            <w:tcW w:w="250" w:type="pct"/>
            <w:vAlign w:val="center"/>
          </w:tcPr>
          <w:p>
            <w:r>
              <w:t xml:space="preserve">21</w:t>
            </w:r>
          </w:p>
        </w:tc>
        <w:tc>
          <w:tcPr>
            <w:tcW w:w="1500" w:type="pct"/>
            <w:vAlign w:val="center"/>
          </w:tcPr>
          <w:p>
            <w:r>
              <w:t xml:space="preserve">Каких сроков не должны превышать нормативные сроки эксплуатации СИЗ</w:t>
            </w:r>
          </w:p>
        </w:tc>
        <w:tc>
          <w:tcPr>
            <w:tcW w:w="2500" w:type="pct"/>
            <w:vAlign w:val="center"/>
          </w:tcPr>
          <w:p>
            <w:r>
              <w:t xml:space="preserve">1. Сроки не должны превышать сроков, указанных в Нормах. Исчисление нормативных сроков эксплуатации и нормативной выдачи СИЗ, выдаваемых один раз в месяц и чаще, происходит с учетом времени, фактически проведенного работником на рабочем месте, без учета отпусков (в том числе учебных)</w:t>
            </w:r>
            <w:r>
              <w:br/>
            </w:r>
          </w:p>
        </w:tc>
        <w:tc>
          <w:tcPr>
            <w:tcW w:w="750" w:type="pct"/>
            <w:vAlign w:val="center"/>
          </w:tcPr>
          <w:p>
            <w:r>
              <w:t xml:space="preserve">верно</w:t>
            </w:r>
          </w:p>
        </w:tc>
      </w:tr>
      <w:tr>
        <w:trPr/>
        <w:tc>
          <w:tcPr>
            <w:tcW w:w="250" w:type="pct"/>
            <w:vAlign w:val="center"/>
          </w:tcPr>
          <w:p>
            <w:r>
              <w:t xml:space="preserve">22</w:t>
            </w:r>
          </w:p>
        </w:tc>
        <w:tc>
          <w:tcPr>
            <w:tcW w:w="1500" w:type="pct"/>
            <w:vAlign w:val="center"/>
          </w:tcPr>
          <w:p>
            <w:r>
              <w:t xml:space="preserve">Какой документ будет одной из составляющих пакета документов, который поступит с дерматологическими СИЗ гидрофобного действия</w:t>
            </w:r>
          </w:p>
        </w:tc>
        <w:tc>
          <w:tcPr>
            <w:tcW w:w="2500" w:type="pct"/>
            <w:vAlign w:val="center"/>
          </w:tcPr>
          <w:p>
            <w:r>
              <w:t xml:space="preserve">1. Сертификат соответствия требованиям ТР ТС 019/2011</w:t>
            </w:r>
            <w:r>
              <w:br/>
            </w:r>
          </w:p>
        </w:tc>
        <w:tc>
          <w:tcPr>
            <w:tcW w:w="750" w:type="pct"/>
            <w:vAlign w:val="center"/>
          </w:tcPr>
          <w:p>
            <w:r>
              <w:t xml:space="preserve">верно</w:t>
            </w:r>
          </w:p>
        </w:tc>
      </w:tr>
      <w:tr>
        <w:trPr/>
        <w:tc>
          <w:tcPr>
            <w:tcW w:w="250" w:type="pct"/>
            <w:vAlign w:val="center"/>
          </w:tcPr>
          <w:p>
            <w:r>
              <w:t xml:space="preserve">23</w:t>
            </w:r>
          </w:p>
        </w:tc>
        <w:tc>
          <w:tcPr>
            <w:tcW w:w="1500" w:type="pct"/>
            <w:vAlign w:val="center"/>
          </w:tcPr>
          <w:p>
            <w:r>
              <w:t xml:space="preserve">Расставьте последствия электрического удара в зависимости от тяжести последствий от 1 до 5</w:t>
            </w:r>
          </w:p>
        </w:tc>
        <w:tc>
          <w:tcPr>
            <w:tcW w:w="2500" w:type="pct"/>
            <w:vAlign w:val="center"/>
          </w:tcPr>
          <w:p>
            <w:r>
              <w:t xml:space="preserve">1. Судорожное, едва ощутимое сокращение мышц</w:t>
            </w:r>
            <w:r>
              <w:t xml:space="preserve">2. Судорожное сокращение мышц без потери сознания</w:t>
            </w:r>
            <w:r>
              <w:t xml:space="preserve">3. Судорожное сокращение мышц с потерей сознания, с сохранением дыхания и работы сердца</w:t>
            </w:r>
            <w:r>
              <w:t xml:space="preserve">4. Потеря сознания, нарушение сердечной деятельности или дыхания</w:t>
            </w:r>
            <w:r>
              <w:t xml:space="preserve">5. Клиническая смерть</w:t>
            </w:r>
          </w:p>
        </w:tc>
        <w:tc>
          <w:tcPr>
            <w:tcW w:w="750" w:type="pct"/>
            <w:vAlign w:val="center"/>
          </w:tcPr>
          <w:p>
            <w:r>
              <w:t xml:space="preserve">верно</w:t>
            </w:r>
          </w:p>
        </w:tc>
      </w:tr>
      <w:tr>
        <w:trPr/>
        <w:tc>
          <w:tcPr>
            <w:tcW w:w="250" w:type="pct"/>
            <w:vAlign w:val="center"/>
          </w:tcPr>
          <w:p>
            <w:r>
              <w:t xml:space="preserve">24</w:t>
            </w:r>
          </w:p>
        </w:tc>
        <w:tc>
          <w:tcPr>
            <w:tcW w:w="1500" w:type="pct"/>
            <w:vAlign w:val="center"/>
          </w:tcPr>
          <w:p>
            <w:r>
              <w:t xml:space="preserve">Какое требование является обязательным для спецодежды для защиты от искр и брызг расплавленного металла и окалины</w:t>
            </w:r>
          </w:p>
        </w:tc>
        <w:tc>
          <w:tcPr>
            <w:tcW w:w="2500" w:type="pct"/>
            <w:vAlign w:val="center"/>
          </w:tcPr>
          <w:p>
            <w:r>
              <w:t xml:space="preserve">1. Застежки должны быть закрыты планками, клапанами или подобными элементами</w:t>
            </w:r>
            <w:r>
              <w:br/>
            </w:r>
          </w:p>
        </w:tc>
        <w:tc>
          <w:tcPr>
            <w:tcW w:w="750" w:type="pct"/>
            <w:vAlign w:val="center"/>
          </w:tcPr>
          <w:p>
            <w:r>
              <w:t xml:space="preserve">верно</w:t>
            </w:r>
          </w:p>
        </w:tc>
      </w:tr>
      <w:tr>
        <w:trPr/>
        <w:tc>
          <w:tcPr>
            <w:tcW w:w="250" w:type="pct"/>
            <w:vAlign w:val="center"/>
          </w:tcPr>
          <w:p>
            <w:r>
              <w:t xml:space="preserve">25</w:t>
            </w:r>
          </w:p>
        </w:tc>
        <w:tc>
          <w:tcPr>
            <w:tcW w:w="1500" w:type="pct"/>
            <w:vAlign w:val="center"/>
          </w:tcPr>
          <w:p>
            <w:r>
              <w:t xml:space="preserve">Установите соответствие терминам</w:t>
            </w:r>
          </w:p>
        </w:tc>
        <w:tc>
          <w:tcPr>
            <w:tcW w:w="2500" w:type="pct"/>
            <w:vAlign w:val="center"/>
          </w:tcPr>
          <w:p>
            <w:r>
              <w:t xml:space="preserve">1. Вид одежды, состоящий из двух (или трех) взаимодополняющих предметов одежды (плечевой и поясной) для защиты пользователя, имеющих общее функциональное назначение - Костюм</w:t>
            </w:r>
            <w:r>
              <w:t xml:space="preserve">2. Несколько взаимодополняющих видов спецодежды для защиты пользователя, имеющих общее функциональное назначение - Комплект спецодежды</w:t>
            </w:r>
            <w:r>
              <w:t xml:space="preserve">3. Одежда специальная из тканей с пониженной материалоемкостью (поверхностной плотностью) для защиты от общих производственных загрязнений, применение которой обусловлено производственными условиями и условиями эксплуатации - Облегченная спецодежда</w:t>
            </w:r>
            <w:r>
              <w:t xml:space="preserve">4. Два или более взаимодополняющих вида средств индивидуальной защиты для пользователя, имеющих общее функциональное назначение - Комплект СИЗ</w:t>
            </w:r>
          </w:p>
        </w:tc>
        <w:tc>
          <w:tcPr>
            <w:tcW w:w="750" w:type="pct"/>
            <w:vAlign w:val="center"/>
          </w:tcPr>
          <w:p>
            <w:r>
              <w:t xml:space="preserve">верно</w:t>
            </w:r>
          </w:p>
        </w:tc>
      </w:tr>
      <w:tr>
        <w:trPr/>
        <w:tc>
          <w:tcPr>
            <w:tcW w:w="250" w:type="pct"/>
            <w:vAlign w:val="center"/>
          </w:tcPr>
          <w:p>
            <w:r>
              <w:t xml:space="preserve">26</w:t>
            </w:r>
          </w:p>
        </w:tc>
        <w:tc>
          <w:tcPr>
            <w:tcW w:w="1500" w:type="pct"/>
            <w:vAlign w:val="center"/>
          </w:tcPr>
          <w:p>
            <w:r>
              <w:t xml:space="preserve">Кто отвечает за обеспечение СИЗ работников сторонних организаций, выполняющих работы по договору подряда в производственных цехах и участках принимающей стороны (заказчика), где имеются ВОПФ, а также при выполнении работ в особых температурных условиях или связанных с загрязнением</w:t>
            </w:r>
          </w:p>
        </w:tc>
        <w:tc>
          <w:tcPr>
            <w:tcW w:w="2500" w:type="pct"/>
            <w:vAlign w:val="center"/>
          </w:tcPr>
          <w:p>
            <w:r>
              <w:t xml:space="preserve">1. Работодатель сторонней организации выдает СИЗ в соответствии со своими Нормами, при учете специфики производственной деятельности принимающей стороны</w:t>
            </w:r>
            <w:r>
              <w:br/>
            </w:r>
          </w:p>
        </w:tc>
        <w:tc>
          <w:tcPr>
            <w:tcW w:w="750" w:type="pct"/>
            <w:vAlign w:val="center"/>
          </w:tcPr>
          <w:p>
            <w:r>
              <w:t xml:space="preserve">верно</w:t>
            </w:r>
          </w:p>
        </w:tc>
      </w:tr>
      <w:tr>
        <w:trPr/>
        <w:tc>
          <w:tcPr>
            <w:tcW w:w="250" w:type="pct"/>
            <w:vAlign w:val="center"/>
          </w:tcPr>
          <w:p>
            <w:r>
              <w:t xml:space="preserve">27</w:t>
            </w:r>
          </w:p>
        </w:tc>
        <w:tc>
          <w:tcPr>
            <w:tcW w:w="1500" w:type="pct"/>
            <w:vAlign w:val="center"/>
          </w:tcPr>
          <w:p>
            <w:r>
              <w:t xml:space="preserve">Какой промежуток времени не входит в нормативный срок эксплуатации специальной одежды для защиты от пониженных температур</w:t>
            </w:r>
          </w:p>
        </w:tc>
        <w:tc>
          <w:tcPr>
            <w:tcW w:w="2500" w:type="pct"/>
            <w:vAlign w:val="center"/>
          </w:tcPr>
          <w:p>
            <w:r>
              <w:t xml:space="preserve">1. Время отпуска работника</w:t>
            </w:r>
            <w:r>
              <w:br/>
            </w:r>
            <w:r>
              <w:t xml:space="preserve">2. Период временной нетрудоспособности работника</w:t>
            </w:r>
            <w:r>
              <w:br/>
            </w:r>
            <w:r>
              <w:t xml:space="preserve">3. Время хранения специальной одежды</w:t>
            </w:r>
            <w:r>
              <w:br/>
            </w:r>
          </w:p>
        </w:tc>
        <w:tc>
          <w:tcPr>
            <w:tcW w:w="750" w:type="pct"/>
            <w:vAlign w:val="center"/>
          </w:tcPr>
          <w:p>
            <w:r>
              <w:t xml:space="preserve">верно</w:t>
            </w:r>
          </w:p>
        </w:tc>
      </w:tr>
      <w:tr>
        <w:trPr/>
        <w:tc>
          <w:tcPr>
            <w:tcW w:w="250" w:type="pct"/>
            <w:vAlign w:val="center"/>
          </w:tcPr>
          <w:p>
            <w:r>
              <w:t xml:space="preserve">28</w:t>
            </w:r>
          </w:p>
        </w:tc>
        <w:tc>
          <w:tcPr>
            <w:tcW w:w="1500" w:type="pct"/>
            <w:vAlign w:val="center"/>
          </w:tcPr>
          <w:p>
            <w:r>
              <w:t xml:space="preserve">Какие защитные свойства должны быть указаны на маркировке изделия, если СИЗ ног защищает от вибрации, ударов в носочной части энергией 200Дж, общих производственных загрязнений</w:t>
            </w:r>
          </w:p>
        </w:tc>
        <w:tc>
          <w:tcPr>
            <w:tcW w:w="2500" w:type="pct"/>
            <w:vAlign w:val="center"/>
          </w:tcPr>
          <w:p>
            <w:r>
              <w:t xml:space="preserve">1. Мв, Мун200, З</w:t>
            </w:r>
            <w:r>
              <w:br/>
            </w:r>
          </w:p>
        </w:tc>
        <w:tc>
          <w:tcPr>
            <w:tcW w:w="750" w:type="pct"/>
            <w:vAlign w:val="center"/>
          </w:tcPr>
          <w:p>
            <w:r>
              <w:t xml:space="preserve">верно</w:t>
            </w:r>
          </w:p>
        </w:tc>
      </w:tr>
      <w:tr>
        <w:trPr/>
        <w:tc>
          <w:tcPr>
            <w:tcW w:w="250" w:type="pct"/>
            <w:vAlign w:val="center"/>
          </w:tcPr>
          <w:p>
            <w:r>
              <w:t xml:space="preserve">29</w:t>
            </w:r>
          </w:p>
        </w:tc>
        <w:tc>
          <w:tcPr>
            <w:tcW w:w="1500" w:type="pct"/>
            <w:vAlign w:val="center"/>
          </w:tcPr>
          <w:p>
            <w:r>
              <w:t xml:space="preserve">Выбор ДСИЗ, осуществляется работодателем на основе следующей информации. Выберите правильные варианты</w:t>
            </w:r>
          </w:p>
        </w:tc>
        <w:tc>
          <w:tcPr>
            <w:tcW w:w="2500" w:type="pct"/>
            <w:vAlign w:val="center"/>
          </w:tcPr>
          <w:p>
            <w:r>
              <w:t xml:space="preserve">1. В соответствии с ЕТН, приложение 3</w:t>
            </w:r>
            <w:r>
              <w:br/>
            </w:r>
            <w:r>
              <w:t xml:space="preserve">2. На основе информации о свойствах ДСИЗ в соответствии с эксплуатационной документацией изготовителя</w:t>
            </w:r>
            <w:r>
              <w:br/>
            </w:r>
            <w:r>
              <w:t xml:space="preserve">3. На основе документов о подтверждении соответствия требованиям ТР ТС 019 и документов национальной системы стандартизации (при наличии), действующих для данного вида продукции</w:t>
            </w:r>
            <w:r>
              <w:br/>
            </w:r>
            <w:r>
              <w:t xml:space="preserve">4. На основе информации о типах загрязнения на рабочих местах</w:t>
            </w:r>
            <w:r>
              <w:br/>
            </w:r>
            <w:r>
              <w:t xml:space="preserve">5. На основе информации о свойствах рабочих материалов, веществ и сред на рабочих местах</w:t>
            </w:r>
            <w:r>
              <w:br/>
            </w:r>
          </w:p>
        </w:tc>
        <w:tc>
          <w:tcPr>
            <w:tcW w:w="750" w:type="pct"/>
            <w:vAlign w:val="center"/>
          </w:tcPr>
          <w:p>
            <w:r>
              <w:t xml:space="preserve">верно</w:t>
            </w:r>
          </w:p>
        </w:tc>
      </w:tr>
      <w:tr>
        <w:trPr/>
        <w:tc>
          <w:tcPr>
            <w:tcW w:w="250" w:type="pct"/>
            <w:vAlign w:val="center"/>
          </w:tcPr>
          <w:p>
            <w:r>
              <w:t xml:space="preserve">30</w:t>
            </w:r>
          </w:p>
        </w:tc>
        <w:tc>
          <w:tcPr>
            <w:tcW w:w="1500" w:type="pct"/>
            <w:vAlign w:val="center"/>
          </w:tcPr>
          <w:p>
            <w:r>
              <w:t xml:space="preserve">Установите последовательность при эксплуатации одежды специальной для защиты от вредных биологических факторов (ВБФ), клещей и кровососущих насекомых</w:t>
            </w:r>
          </w:p>
        </w:tc>
        <w:tc>
          <w:tcPr>
            <w:tcW w:w="2500" w:type="pct"/>
            <w:vAlign w:val="center"/>
          </w:tcPr>
          <w:p>
            <w:r>
              <w:t xml:space="preserve">1. Убедитесь в отсутствии повреждений изделия</w:t>
            </w:r>
            <w:r>
              <w:t xml:space="preserve">2. Обработайте складки-ловушки инсектоакарицидным средством</w:t>
            </w:r>
            <w:r>
              <w:t xml:space="preserve">3. Эксплуатируйте спустя 60 минут (после высыхания)</w:t>
            </w:r>
            <w:r>
              <w:t xml:space="preserve">4. Храните костюм в полиэтиленовом пакете</w:t>
            </w:r>
            <w:r>
              <w:t xml:space="preserve">5. В случае намокания обработайте инсектоакарицидным средством</w:t>
            </w:r>
          </w:p>
        </w:tc>
        <w:tc>
          <w:tcPr>
            <w:tcW w:w="750" w:type="pct"/>
            <w:vAlign w:val="center"/>
          </w:tcPr>
          <w:p>
            <w:r>
              <w:t xml:space="preserve">верно</w:t>
            </w:r>
          </w:p>
        </w:tc>
      </w:tr>
    </w:tbl>
    <w:p>
      <w:r>
        <w:br/>
      </w:r>
      <w:r>
        <w:br/>
      </w:r>
      <w:r>
        <w:rPr>
          <w:b/>
        </w:rPr>
        <w:t xml:space="preserve">12. </w:t>
      </w:r>
      <w:r>
        <w:rPr>
          <w:b/>
        </w:rPr>
        <w:t xml:space="preserve">Уполномоченное лицо, допустившее к прохождению тестирования: </w:t>
      </w:r>
      <w:r>
        <w:t xml:space="preserve"> </w:t>
      </w:r>
      <w:r>
        <w:br/>
      </w:r>
      <w:r>
        <w:t xml:space="preserve"> </w:t>
      </w:r>
      <w:r>
        <w:t xml:space="preserve">Дата: 25.09.2024      </w:t>
      </w:r>
      <w:r>
        <w:t xml:space="preserve">Подпись: </w:t>
      </w:r>
      <w:r>
        <w:br/>
      </w:r>
      <w:r>
        <w:rPr>
          <w:b/>
        </w:rPr>
        <w:t xml:space="preserve">13. </w:t>
      </w:r>
      <w:r>
        <w:rPr>
          <w:b/>
        </w:rPr>
        <w:t xml:space="preserve">Копию результата тестирования получил: </w:t>
      </w:r>
      <w:r>
        <w:t xml:space="preserve">Змановская Мария Анатольевна</w:t>
      </w:r>
      <w:r>
        <w:br/>
      </w:r>
      <w:r>
        <w:t xml:space="preserve"> </w:t>
      </w:r>
      <w:r>
        <w:t xml:space="preserve">Дата: 25.09.2024      </w:t>
      </w:r>
      <w:r>
        <w:t xml:space="preserve">Подпись: </w:t>
      </w:r>
      <w:r>
        <w:br/>
      </w:r>
      <w:r>
        <w:br/>
      </w:r>
      <w:r>
        <w:br/>
      </w:r>
      <w:r>
        <w:t xml:space="preserve">Выписка сформирована в Федеральной государственной информационной системе учета результатов проведения специальной оценки условий труда,размещенной на официальном сайте Минтруда России в сети интернет по адресу </w:t>
      </w:r>
      <w:hyperlink xmlns:r="http://schemas.openxmlformats.org/officeDocument/2006/relationships" w:history="true" r:id="Re2aa751a67cd42cd">
        <w:r>
          <w:rPr>
            <w:rStyle w:val="Hyperlink"/>
          </w:rPr>
          <w:t xml:space="preserve">https://akot.rosmintrud.ru</w:t>
        </w:r>
      </w:hyperlink>
      <w:r>
        <w:br/>
      </w:r>
    </w:p>
    <w:sectPr>
      <w:pgSz w:w="11906" w:h="16838"/>
      <w:pgMar w:top="1417" w:right="1417" w:bottom="1417" w:left="1417" w:header="708" w:footer="708" w:gutter="0"/>
      <w:cols w:space="708"/>
      <w:docGrid w:linePitch="360"/>
    </w:sectPr>
  </w:body>
</w:document>
</file>

<file path=word/styles.xml><?xml version="1.0" encoding="utf-8"?>
<w:styles xmlns:w="http://schemas.openxmlformats.org/wordprocessingml/2006/main">
  <w:style xmlns:w="http://schemas.openxmlformats.org/wordprocessingml/2006/main" w:type="paragraph" w:styleId="Heading2">
    <w:name w:val="heading 2"/>
    <w:basedOn w:val="Normal"/>
    <w:next w:val="Normal"/>
    <w:link w:val="Heading2Char"/>
    <w:unhideWhenUsed/>
    <w:qFormat/>
    <w:pPr>
      <w:keepNext/>
      <w:keepLines/>
      <w:spacing w:before="200" w:after="0"/>
      <w:outlineLvl w:val="1"/>
    </w:pPr>
    <w:rPr>
      <w:rFonts w:asciiTheme="majorHAnsi" w:hAnsiTheme="majorHAnsi" w:eastAsiaTheme="majorEastAsia" w:cstheme="majorBidi"/>
      <w:b/>
      <w:bCs/>
      <w:color w:val="5B9BD5" w:themeColor="accent1"/>
      <w:sz w:val="26"/>
      <w:szCs w:val="26"/>
    </w:rPr>
  </w:style>
  <w:style xmlns:w="http://schemas.openxmlformats.org/wordprocessingml/2006/main" w:type="table" w:styleId="TableGrid">
    <w:name w:val="Table Grid"/>
    <w:basedOn w:val="TableNormal"/>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xmlns:w="http://schemas.openxmlformats.org/wordprocessingml/2006/main" w:type="character" w:styleId="Hyperlink">
    <w:name w:val="Hyperlink"/>
    <w:unhideWhenUsed/>
    <w:rPr>
      <w:color w:val="0000FF" w:themeColor="hyperlink"/>
      <w:u w:val="single"/>
    </w:rPr>
  </w:style>
</w:styles>
</file>

<file path=word/_rels/document.xml.rels>&#65279;<?xml version="1.0" encoding="utf-8"?><Relationships xmlns="http://schemas.openxmlformats.org/package/2006/relationships"><Relationship Type="http://schemas.openxmlformats.org/officeDocument/2006/relationships/styles" Target="/word/styles.xml" Id="R043b2d3563e84ff5" /><Relationship Type="http://schemas.openxmlformats.org/officeDocument/2006/relationships/hyperlink" Target="https://akot.rosmintrud.ru" TargetMode="External" Id="Re2aa751a67cd42cd" /></Relationships>
</file>