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f5264b07b540ad" /></Relationships>
</file>

<file path=word/document.xml><?xml version="1.0" encoding="utf-8"?>
<w:document xmlns:w="http://schemas.openxmlformats.org/wordprocessingml/2006/main">
  <w:body>
    <w:p>
      <w:pPr>
        <w:pStyle w:val="Heading2"/>
        <w:jc w:val="center"/>
      </w:pPr>
      <w:r>
        <w:rPr>
          <w:color w:val="000000"/>
        </w:rPr>
        <w:t xml:space="preserve">Результаты тестирования №945387</w:t>
      </w:r>
    </w:p>
    <w:p>
      <w:r>
        <w:br/>
      </w:r>
      <w:r>
        <w:rPr>
          <w:b/>
        </w:rPr>
        <w:t xml:space="preserve">1. </w:t>
      </w:r>
      <w:r>
        <w:rPr>
          <w:b/>
        </w:rPr>
        <w:t xml:space="preserve">Лицо, проходящее тестирование: </w:t>
      </w:r>
      <w:r>
        <w:t xml:space="preserve">Змановская Мария Анатольевна</w:t>
      </w:r>
      <w:r>
        <w:br/>
      </w:r>
      <w:r>
        <w:rPr>
          <w:b/>
        </w:rPr>
        <w:t xml:space="preserve">2. </w:t>
      </w:r>
      <w:r>
        <w:rPr>
          <w:b/>
        </w:rPr>
        <w:t xml:space="preserve">Логин: </w:t>
      </w:r>
      <w:r>
        <w:t xml:space="preserve">zmanovskaya_ma</w:t>
      </w:r>
      <w:r>
        <w:br/>
      </w:r>
      <w:r>
        <w:rPr>
          <w:b/>
        </w:rPr>
        <w:t xml:space="preserve">3. </w:t>
      </w:r>
      <w:r>
        <w:rPr>
          <w:b/>
        </w:rPr>
        <w:t xml:space="preserve">Дата и время прохождения тестирования (МСК): </w:t>
      </w:r>
      <w:r>
        <w:t xml:space="preserve">24.09.2024 15:28</w:t>
      </w:r>
      <w:r>
        <w:br/>
      </w:r>
      <w:r>
        <w:rPr>
          <w:b/>
        </w:rPr>
        <w:t xml:space="preserve">4. </w:t>
      </w:r>
      <w:r>
        <w:rPr>
          <w:b/>
        </w:rPr>
        <w:t xml:space="preserve">Длительность прохождения тестирования (часы, минуты): </w:t>
      </w:r>
      <w:r>
        <w:t xml:space="preserve">00:23</w:t>
      </w:r>
      <w:r>
        <w:br/>
      </w:r>
      <w:r>
        <w:rPr>
          <w:b/>
        </w:rPr>
        <w:t xml:space="preserve">5. </w:t>
      </w:r>
      <w:r>
        <w:rPr>
          <w:b/>
        </w:rPr>
        <w:t xml:space="preserve">Наименование организации, проводившей обучение: </w:t>
      </w:r>
      <w:r>
        <w:t xml:space="preserve">Общество с ограниченной ответственностью Региональный Центр Образования "ПрофРазвитие"</w:t>
      </w:r>
      <w:r>
        <w:br/>
      </w:r>
      <w:r>
        <w:rPr>
          <w:b/>
        </w:rPr>
        <w:t xml:space="preserve">6. </w:t>
      </w:r>
      <w:r>
        <w:rPr>
          <w:b/>
        </w:rPr>
        <w:t xml:space="preserve">Программа обучения: </w:t>
      </w:r>
      <w:r>
        <w:t xml:space="preserve">ИД46А. Общие вопросы охраны труда и функционирования системы управления охраной труда</w:t>
      </w:r>
      <w:r>
        <w:br/>
      </w:r>
      <w:r>
        <w:rPr>
          <w:b/>
        </w:rPr>
        <w:t xml:space="preserve">7. </w:t>
      </w:r>
      <w:r>
        <w:rPr>
          <w:b/>
        </w:rPr>
        <w:t xml:space="preserve">Контингент: </w:t>
      </w:r>
      <w:r>
        <w:t xml:space="preserve">КТ3. Руководители подразделений по охране труда и специалисты в области охраны труда организаций (п. 78 ПП №2464)</w:t>
      </w:r>
      <w:r>
        <w:br/>
      </w:r>
      <w:r>
        <w:rPr>
          <w:b/>
        </w:rPr>
        <w:t xml:space="preserve">8. </w:t>
      </w:r>
      <w:r>
        <w:rPr>
          <w:b/>
        </w:rPr>
        <w:t xml:space="preserve">Отрасль: </w:t>
      </w:r>
      <w:r>
        <w:t xml:space="preserve">H. Транспортировка и хранение</w:t>
      </w:r>
      <w:r>
        <w:br/>
      </w:r>
      <w:r>
        <w:rPr>
          <w:b/>
        </w:rPr>
        <w:t xml:space="preserve">9. </w:t>
      </w:r>
      <w:r>
        <w:rPr>
          <w:b/>
        </w:rPr>
        <w:t xml:space="preserve">Автоматизированное место тестирования: </w:t>
      </w:r>
      <w:r>
        <w:t xml:space="preserve">г. Новороссийск, ул. Малоземельская д.15А, офис 25</w:t>
      </w:r>
      <w:r>
        <w:br/>
      </w:r>
      <w:r>
        <w:rPr>
          <w:b/>
        </w:rPr>
        <w:t xml:space="preserve">10. </w:t>
      </w:r>
      <w:r>
        <w:rPr>
          <w:b/>
        </w:rPr>
        <w:t xml:space="preserve">Процент правильных ответов: </w:t>
      </w:r>
      <w:r>
        <w:t xml:space="preserve">96%</w:t>
      </w:r>
      <w:r>
        <w:br/>
      </w:r>
      <w:r>
        <w:rPr>
          <w:b/>
        </w:rPr>
        <w:t xml:space="preserve">11. </w:t>
      </w:r>
      <w:r>
        <w:rPr>
          <w:b/>
        </w:rPr>
        <w:t xml:space="preserve">Результат тестирования: </w:t>
      </w:r>
      <w:r>
        <w:t xml:space="preserve">Удовлетворительно</w:t>
      </w:r>
      <w:r>
        <w:br/>
      </w:r>
      <w:r>
        <w:br/>
      </w:r>
    </w:p>
    <w:tbl>
      <w:tblPr>
        <w:tblStyle w:val="TableGrid"/>
        <w:tblW w:w="5000" w:type="pct"/>
      </w:tblPr>
      <w:tblGrid>
        <w:gridCol/>
        <w:gridCol/>
        <w:gridCol/>
        <w:gridCol/>
      </w:tblGrid>
      <w:tr>
        <w:trPr/>
        <w:tc>
          <w:tcPr>
            <w:tcW w:w="500" w:type="pct"/>
            <w:vAlign w:val="center"/>
          </w:tcPr>
          <w:p>
            <w:r>
              <w:t xml:space="preserve">Номер вопроса</w:t>
            </w:r>
          </w:p>
        </w:tc>
        <w:tc>
          <w:tcPr>
            <w:tcW w:w="750" w:type="pct"/>
            <w:vAlign w:val="center"/>
          </w:tcPr>
          <w:p>
            <w:r>
              <w:t xml:space="preserve">Вопрос</w:t>
            </w:r>
          </w:p>
        </w:tc>
        <w:tc>
          <w:tcPr>
            <w:tcW w:w="750" w:type="pct"/>
            <w:vAlign w:val="center"/>
          </w:tcPr>
          <w:p>
            <w:r>
              <w:t xml:space="preserve">Ответ</w:t>
            </w:r>
          </w:p>
        </w:tc>
        <w:tc>
          <w:tcPr>
            <w:vAlign w:val="center"/>
          </w:tcPr>
          <w:p>
            <w:r>
              <w:t xml:space="preserve">Результат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1</w:t>
            </w:r>
          </w:p>
        </w:tc>
        <w:tc>
          <w:tcPr>
            <w:tcW w:w="1500" w:type="pct"/>
            <w:vAlign w:val="center"/>
          </w:tcPr>
          <w:p>
            <w:r>
              <w:t xml:space="preserve">Этот метод оценки риска рекомендуется использовать после того, как все опасности и/или опасные ситуации вместе с их источниками были выявлены, перечислены и расставлены в порядке приоритета, чтобы разработать наиболее эффективные меры управления наиболее значимыми профессиональными рисками</w:t>
            </w:r>
          </w:p>
        </w:tc>
        <w:tc>
          <w:tcPr>
            <w:tcW w:w="2500" w:type="pct"/>
            <w:vAlign w:val="center"/>
          </w:tcPr>
          <w:p>
            <w:r>
              <w:t xml:space="preserve">1. Метод анализа "галстук-бабочка"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2</w:t>
            </w:r>
          </w:p>
        </w:tc>
        <w:tc>
          <w:tcPr>
            <w:tcW w:w="1500" w:type="pct"/>
            <w:vAlign w:val="center"/>
          </w:tcPr>
          <w:p>
            <w:r>
              <w:t xml:space="preserve">Какое опасное событие может произойти в результате неприменения СИЗ или применения поврежденных СИЗ, не сертифицированных СИЗ, не соответствующих размерам СИЗ, СИЗ, не соответствующих выявленным опасностям, составу или уровню воздействия вредных факторов</w:t>
            </w:r>
          </w:p>
        </w:tc>
        <w:tc>
          <w:tcPr>
            <w:tcW w:w="2500" w:type="pct"/>
            <w:vAlign w:val="center"/>
          </w:tcPr>
          <w:p>
            <w:r>
              <w:t xml:space="preserve">1. Травма или заболевание вследствие отсутствия защиты от вредных (травмирующих) факторов, от которых защищают СИЗ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3</w:t>
            </w:r>
          </w:p>
        </w:tc>
        <w:tc>
          <w:tcPr>
            <w:tcW w:w="1500" w:type="pct"/>
            <w:vAlign w:val="center"/>
          </w:tcPr>
          <w:p>
            <w:r>
              <w:t xml:space="preserve">Срок хранения справки о рассмотрении причин и обстоятельств, приведших к возникновению микроповреждения (микротравмы) работника</w:t>
            </w:r>
          </w:p>
        </w:tc>
        <w:tc>
          <w:tcPr>
            <w:tcW w:w="2500" w:type="pct"/>
            <w:vAlign w:val="center"/>
          </w:tcPr>
          <w:p>
            <w:r>
              <w:t xml:space="preserve">1. 1 год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4</w:t>
            </w:r>
          </w:p>
        </w:tc>
        <w:tc>
          <w:tcPr>
            <w:tcW w:w="1500" w:type="pct"/>
            <w:vAlign w:val="center"/>
          </w:tcPr>
          <w:p>
            <w:r>
              <w:t xml:space="preserve">При каком условии допускается подача декларации соответствия условий труда государственным нормативным требованиям охраны труда в форме электронного документа</w:t>
            </w:r>
          </w:p>
        </w:tc>
        <w:tc>
          <w:tcPr>
            <w:tcW w:w="2500" w:type="pct"/>
            <w:vAlign w:val="center"/>
          </w:tcPr>
          <w:p>
            <w:r>
              <w:t xml:space="preserve">1. Электронный документ должен быть подписан квалифицированной электронной подписью работодателя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5</w:t>
            </w:r>
          </w:p>
        </w:tc>
        <w:tc>
          <w:tcPr>
            <w:tcW w:w="1500" w:type="pct"/>
            <w:vAlign w:val="center"/>
          </w:tcPr>
          <w:p>
            <w:r>
              <w:t xml:space="preserve">Категория работников, которые ежегодно проходят периодические медицинские осмотры</w:t>
            </w:r>
          </w:p>
        </w:tc>
        <w:tc>
          <w:tcPr>
            <w:tcW w:w="2500" w:type="pct"/>
            <w:vAlign w:val="center"/>
          </w:tcPr>
          <w:p>
            <w:r>
              <w:t xml:space="preserve">1. Для лиц в возрасте до 21 года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6</w:t>
            </w:r>
          </w:p>
        </w:tc>
        <w:tc>
          <w:tcPr>
            <w:tcW w:w="1500" w:type="pct"/>
            <w:vAlign w:val="center"/>
          </w:tcPr>
          <w:p>
            <w:r>
              <w:t xml:space="preserve">Установите соответствие</w:t>
            </w:r>
          </w:p>
        </w:tc>
        <w:tc>
          <w:tcPr>
            <w:tcW w:w="2500" w:type="pct"/>
            <w:vAlign w:val="center"/>
          </w:tcPr>
          <w:p>
            <w:r>
              <w:t xml:space="preserve">1. Всех работников, работающих у работодателя в соответствии с трудовым законодательством Российской Федерации - Положения СУОТ распространяются на</w:t>
            </w:r>
            <w:r>
              <w:t xml:space="preserve">2. Исключения и (или) минимизация профессиональных рисков в области охраны труда и управления указанными рисками - Система управления охраны труда (СУОТ) разрабатывается в целях</w:t>
            </w:r>
            <w:r>
              <w:t xml:space="preserve">3. Представляет собой комплекс взаимосвязанных мероприятий и процедур, являющихся элементами системы управления охраной труда - Управление профессиональными рисками</w:t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7</w:t>
            </w:r>
          </w:p>
        </w:tc>
        <w:tc>
          <w:tcPr>
            <w:tcW w:w="1500" w:type="pct"/>
            <w:vAlign w:val="center"/>
          </w:tcPr>
          <w:p>
            <w:r>
              <w:t xml:space="preserve">Какие установлены сроки обращения в суд за разрешением индивидуального трудового спора</w:t>
            </w:r>
          </w:p>
        </w:tc>
        <w:tc>
          <w:tcPr>
            <w:tcW w:w="2500" w:type="pct"/>
            <w:vAlign w:val="center"/>
          </w:tcPr>
          <w:p>
            <w:r>
              <w:t xml:space="preserve">1. В течение трех месяцев со дня, когда он узнал или должен был узнать о нарушении своего права, а по спорам об увольнении – в течение одного месяца со дня вручения ему копии приказа об увольнении либо со дня выдачи трудовой книжки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8</w:t>
            </w:r>
          </w:p>
        </w:tc>
        <w:tc>
          <w:tcPr>
            <w:tcW w:w="1500" w:type="pct"/>
            <w:vAlign w:val="center"/>
          </w:tcPr>
          <w:p>
            <w:r>
              <w:t xml:space="preserve">Перечислите основные направления государственной политики в области охраны труда</w:t>
            </w:r>
          </w:p>
        </w:tc>
        <w:tc>
          <w:tcPr>
            <w:tcW w:w="2500" w:type="pct"/>
            <w:vAlign w:val="center"/>
          </w:tcPr>
          <w:p>
            <w:r>
              <w:t xml:space="preserve">1. Все ответы верны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9</w:t>
            </w:r>
          </w:p>
        </w:tc>
        <w:tc>
          <w:tcPr>
            <w:tcW w:w="1500" w:type="pct"/>
            <w:vAlign w:val="center"/>
          </w:tcPr>
          <w:p>
            <w:r>
              <w:t xml:space="preserve">Какие из перечисленных мер подлежат финансовому обеспечению за счет сумм страховых взносов страхователя</w:t>
            </w:r>
          </w:p>
        </w:tc>
        <w:tc>
          <w:tcPr>
            <w:tcW w:w="2500" w:type="pct"/>
            <w:vAlign w:val="center"/>
          </w:tcPr>
          <w:p>
            <w:r>
              <w:t xml:space="preserve">1. Санаторно-курортное лечение работников, занятых на работах с вредными и (или) опасными производственными факторами (исключая размещение в номерах высшей категории)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10</w:t>
            </w:r>
          </w:p>
        </w:tc>
        <w:tc>
          <w:tcPr>
            <w:tcW w:w="1500" w:type="pct"/>
            <w:vAlign w:val="center"/>
          </w:tcPr>
          <w:p>
            <w:r>
              <w:t xml:space="preserve">На кого возлагается обязанность предоставления работнику актуальной и достоверной информации об условиях и охране труда на его рабочем месте</w:t>
            </w:r>
          </w:p>
        </w:tc>
        <w:tc>
          <w:tcPr>
            <w:tcW w:w="2500" w:type="pct"/>
            <w:vAlign w:val="center"/>
          </w:tcPr>
          <w:p>
            <w:r>
              <w:t xml:space="preserve">1. На работодателя, а также на соответствующие государственные органы и общественные организации при наличии у них такой информации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11</w:t>
            </w:r>
          </w:p>
        </w:tc>
        <w:tc>
          <w:tcPr>
            <w:tcW w:w="1500" w:type="pct"/>
            <w:vAlign w:val="center"/>
          </w:tcPr>
          <w:p>
            <w:r>
              <w:t xml:space="preserve">Работник отказывается выполнять работы из-за возникновения опасности для его жизни и здоровья вследствие нарушения требований охраны труда. Какие действия в этом случаи должен выполнить работодатель</w:t>
            </w:r>
          </w:p>
        </w:tc>
        <w:tc>
          <w:tcPr>
            <w:tcW w:w="2500" w:type="pct"/>
            <w:vAlign w:val="center"/>
          </w:tcPr>
          <w:p>
            <w:r>
              <w:t xml:space="preserve">1. Предоставить работнику другую работу на время устранения такой опасности либо оплатить простой в размере среднего заработка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12</w:t>
            </w:r>
          </w:p>
        </w:tc>
        <w:tc>
          <w:tcPr>
            <w:tcW w:w="1500" w:type="pct"/>
            <w:vAlign w:val="center"/>
          </w:tcPr>
          <w:p>
            <w:r>
              <w:t xml:space="preserve">Какие из перечисленных ниже параметров отражают технический уровень рабочего места</w:t>
            </w:r>
          </w:p>
        </w:tc>
        <w:tc>
          <w:tcPr>
            <w:tcW w:w="2500" w:type="pct"/>
            <w:vAlign w:val="center"/>
          </w:tcPr>
          <w:p>
            <w:r>
              <w:t xml:space="preserve">1. Соответствие зданий и сооружений – проектам</w:t>
            </w:r>
            <w:r>
              <w:br/>
            </w:r>
            <w:r>
              <w:t xml:space="preserve">2. Влияние на технологический процесс разнообразных факторов, которые происходят на других рабочих местах</w:t>
            </w:r>
            <w:r>
              <w:br/>
            </w:r>
            <w:r>
              <w:t xml:space="preserve">3. Оснащение рабочего места необходимым оборудованием и инструментом</w:t>
            </w:r>
            <w:r>
              <w:br/>
            </w:r>
            <w:r>
              <w:t xml:space="preserve">4. Соответствие оборудования характеру и объёму выполняемых работ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13</w:t>
            </w:r>
          </w:p>
        </w:tc>
        <w:tc>
          <w:tcPr>
            <w:tcW w:w="1500" w:type="pct"/>
            <w:vAlign w:val="center"/>
          </w:tcPr>
          <w:p>
            <w:r>
              <w:t xml:space="preserve">В какой срок организация, проводящая специальную оценку условий труда, со дня заключения с работодателем гражданско-правового договора о проведении специальной оценки условий труда обязана передать в информационную систему учета установленные сведения и получить для предстоящей СОУТ идентификационный номер</w:t>
            </w:r>
          </w:p>
        </w:tc>
        <w:tc>
          <w:tcPr>
            <w:tcW w:w="2500" w:type="pct"/>
            <w:vAlign w:val="center"/>
          </w:tcPr>
          <w:p>
            <w:r>
              <w:t xml:space="preserve">1. До начала выполнения работ по проведению специальной оценки условий труда, но не позднее чем через пять рабочих дней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14</w:t>
            </w:r>
          </w:p>
        </w:tc>
        <w:tc>
          <w:tcPr>
            <w:tcW w:w="1500" w:type="pct"/>
            <w:vAlign w:val="center"/>
          </w:tcPr>
          <w:p>
            <w:r>
              <w:t xml:space="preserve">Чем является политика работодателя в области охраны труда</w:t>
            </w:r>
          </w:p>
        </w:tc>
        <w:tc>
          <w:tcPr>
            <w:tcW w:w="2500" w:type="pct"/>
            <w:vAlign w:val="center"/>
          </w:tcPr>
          <w:p>
            <w:r>
              <w:t xml:space="preserve">1. Публичной декларацией работодателя о намерении и гарантированном выполнении им государственных нормативных требований охраны труда и добровольно принятых на себя обязательств с учётом мнения выборного органа первичной профсоюзной организации или иного уполномоченного работниками органа</w:t>
            </w:r>
            <w:r>
              <w:br/>
            </w:r>
            <w:r>
              <w:t xml:space="preserve">2. Локальным актом или разделом локального акта работодателя, в котором излагаются цели и мероприятия, направленные на сохранение жизни и здоровья работников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15</w:t>
            </w:r>
          </w:p>
        </w:tc>
        <w:tc>
          <w:tcPr>
            <w:tcW w:w="1500" w:type="pct"/>
            <w:vAlign w:val="center"/>
          </w:tcPr>
          <w:p>
            <w:r>
              <w:t xml:space="preserve">Какие разновидности работ есть у земляных работ</w:t>
            </w:r>
          </w:p>
        </w:tc>
        <w:tc>
          <w:tcPr>
            <w:tcW w:w="2500" w:type="pct"/>
            <w:vAlign w:val="center"/>
          </w:tcPr>
          <w:p>
            <w:r>
              <w:t xml:space="preserve">1. Работы в зоне расположения подземных энергетических сетей, газопроводов, нефтепроводов, других подземных коммуникаций и объектов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16</w:t>
            </w:r>
          </w:p>
        </w:tc>
        <w:tc>
          <w:tcPr>
            <w:tcW w:w="1500" w:type="pct"/>
            <w:vAlign w:val="center"/>
          </w:tcPr>
          <w:p>
            <w:r>
              <w:t xml:space="preserve">При проведении работ (оказании услуг) на территории, находящейся под контролем другого работодателя какие организационные действия должен выполнить контролирующий работодатель</w:t>
            </w:r>
          </w:p>
        </w:tc>
        <w:tc>
          <w:tcPr>
            <w:tcW w:w="2500" w:type="pct"/>
            <w:vAlign w:val="center"/>
          </w:tcPr>
          <w:p>
            <w:r>
              <w:t xml:space="preserve">1. Составление и согласование схемы подключения работодателей, производящих работы к энергоносителям на территории</w:t>
            </w:r>
            <w:r>
              <w:br/>
            </w:r>
            <w:r>
              <w:t xml:space="preserve">2. Проведение работодателем, контролирующим территорию, инструктирования по охране труда</w:t>
            </w:r>
            <w:r>
              <w:br/>
            </w:r>
            <w:r>
              <w:t xml:space="preserve">3. Обеспечение документацией по охране труда, в том числе в электронном виде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17</w:t>
            </w:r>
          </w:p>
        </w:tc>
        <w:tc>
          <w:tcPr>
            <w:tcW w:w="1500" w:type="pct"/>
            <w:vAlign w:val="center"/>
          </w:tcPr>
          <w:p>
            <w:r>
              <w:t xml:space="preserve">На какие виды подразделяются смывающие и (или) обезвреживающие средства</w:t>
            </w:r>
          </w:p>
        </w:tc>
        <w:tc>
          <w:tcPr>
            <w:tcW w:w="2500" w:type="pct"/>
            <w:vAlign w:val="center"/>
          </w:tcPr>
          <w:p>
            <w:r>
              <w:t xml:space="preserve">1. Защитные средства, очищающие средства, средства восстанавливающего и регенерирующего действия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18</w:t>
            </w:r>
          </w:p>
        </w:tc>
        <w:tc>
          <w:tcPr>
            <w:tcW w:w="1500" w:type="pct"/>
            <w:vAlign w:val="center"/>
          </w:tcPr>
          <w:p>
            <w:r>
              <w:t xml:space="preserve">На основании какого документа проводятся предварительные медицинские осмотры при поступлении на работу</w:t>
            </w:r>
          </w:p>
        </w:tc>
        <w:tc>
          <w:tcPr>
            <w:tcW w:w="2500" w:type="pct"/>
            <w:vAlign w:val="center"/>
          </w:tcPr>
          <w:p>
            <w:r>
              <w:t xml:space="preserve">1. Направления на медицинский осмотр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19</w:t>
            </w:r>
          </w:p>
        </w:tc>
        <w:tc>
          <w:tcPr>
            <w:tcW w:w="1500" w:type="pct"/>
            <w:vAlign w:val="center"/>
          </w:tcPr>
          <w:p>
            <w:r>
              <w:t xml:space="preserve">В случае выявления каких фактов страховщик отменяет решение об установлении скидки для страхователя</w:t>
            </w:r>
          </w:p>
        </w:tc>
        <w:tc>
          <w:tcPr>
            <w:tcW w:w="2500" w:type="pct"/>
            <w:vAlign w:val="center"/>
          </w:tcPr>
          <w:p>
            <w:r>
              <w:t xml:space="preserve">1. Представления страхователем недостоверных сведений по начисленным страховым взносам и по произведенным страхователем расходам на обеспечение по страхованию, а также сведений о результатах проведения специальной оценки условий труда и проведенных обязательных предварительных и периодических медицинских осмотрах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20</w:t>
            </w:r>
          </w:p>
        </w:tc>
        <w:tc>
          <w:tcPr>
            <w:tcW w:w="1500" w:type="pct"/>
            <w:vAlign w:val="center"/>
          </w:tcPr>
          <w:p>
            <w:r>
              <w:t xml:space="preserve">В каких случаях в течение шести месяцев со дня наступления событий проводится внеплановая специальная оценка условий труда на рабочих местах</w:t>
            </w:r>
          </w:p>
        </w:tc>
        <w:tc>
          <w:tcPr>
            <w:tcW w:w="2500" w:type="pct"/>
            <w:vAlign w:val="center"/>
          </w:tcPr>
          <w:p>
            <w:r>
              <w:t xml:space="preserve">1. Изменение состава применяемых материалов и (или) сырья, способных оказать влияние на уровень воздействия вредных и (или) опасных производственных факторов на работников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21</w:t>
            </w:r>
          </w:p>
        </w:tc>
        <w:tc>
          <w:tcPr>
            <w:tcW w:w="1500" w:type="pct"/>
            <w:vAlign w:val="center"/>
          </w:tcPr>
          <w:p>
            <w:r>
              <w:t xml:space="preserve">При расследовании несчастного случая (в том числе группового) кто входит в состав комиссии</w:t>
            </w:r>
          </w:p>
        </w:tc>
        <w:tc>
          <w:tcPr>
            <w:tcW w:w="2500" w:type="pct"/>
            <w:vAlign w:val="center"/>
          </w:tcPr>
          <w:p>
            <w:r>
              <w:t xml:space="preserve">1. Государственный инспектор труда, представители органа исполнительной власти субъекта Российской Федерации в области охраны труда или органа местного самоуправления (по согласованию), представитель территориального объединения организаций профсоюзов, представители Фонда социального страхования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22</w:t>
            </w:r>
          </w:p>
        </w:tc>
        <w:tc>
          <w:tcPr>
            <w:tcW w:w="1500" w:type="pct"/>
            <w:vAlign w:val="center"/>
          </w:tcPr>
          <w:p>
            <w:r>
              <w:t xml:space="preserve">Установите правильную последовательность действий по обеспечению работников СИЗ</w:t>
            </w:r>
          </w:p>
        </w:tc>
        <w:tc>
          <w:tcPr>
            <w:tcW w:w="2500" w:type="pct"/>
            <w:vAlign w:val="center"/>
          </w:tcPr>
          <w:p>
            <w:r>
              <w:t xml:space="preserve">1. Разработать на основании Единых типовых норм, с учетом результатов СОУТ, результатов ОПР, мнения выборного органа первичной профсоюзной организации или иного представительного органа работников ( при его наличии) и утвердить локальным нормативно правовым актом Нормы бесплатной выдачи СИЗ и смывающих средств работникам организации</w:t>
            </w:r>
            <w:r>
              <w:t xml:space="preserve">2. Обеспечить разработку локального нормативного акта, устанавливающего порядок обеспечения работников СИЗ и смывающими средствами</w:t>
            </w:r>
            <w:r>
              <w:t xml:space="preserve">3. Обеспечить информирование работников о полагающихся им СИЗ и смывающих средствах согласно Нормам и способах выдачи, условиях хранения</w:t>
            </w:r>
            <w:r>
              <w:t xml:space="preserve">4. Обеспечить проведение обучения, инструктажа или иного способа информирования работников о правилах эксплуатации СИЗ</w:t>
            </w:r>
            <w:r>
              <w:t xml:space="preserve">5. Организовать учет и контроль за выдачей работникам СИЗ и смывающих средств</w:t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23</w:t>
            </w:r>
          </w:p>
        </w:tc>
        <w:tc>
          <w:tcPr>
            <w:tcW w:w="1500" w:type="pct"/>
            <w:vAlign w:val="center"/>
          </w:tcPr>
          <w:p>
            <w:r>
              <w:t xml:space="preserve">Установите последовательность проведения инструктажей на рабочем месте</w:t>
            </w:r>
          </w:p>
        </w:tc>
        <w:tc>
          <w:tcPr>
            <w:tcW w:w="2500" w:type="pct"/>
            <w:vAlign w:val="center"/>
          </w:tcPr>
          <w:p>
            <w:r>
              <w:t xml:space="preserve">1. Вводный инструктаж по охране труда</w:t>
            </w:r>
            <w:r>
              <w:t xml:space="preserve">2. Первичный инструктаж по охране труда</w:t>
            </w:r>
            <w:r>
              <w:t xml:space="preserve">3. Повторный инструктаж по охране труда</w:t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24</w:t>
            </w:r>
          </w:p>
        </w:tc>
        <w:tc>
          <w:tcPr>
            <w:tcW w:w="1500" w:type="pct"/>
            <w:vAlign w:val="center"/>
          </w:tcPr>
          <w:p>
            <w:r>
              <w:t xml:space="preserve">Установите соответствие ответственных лиц с задачами, которые они должны выполнять для обеспечения безопасности работ на высоте</w:t>
            </w:r>
          </w:p>
        </w:tc>
        <w:tc>
          <w:tcPr>
            <w:tcW w:w="2500" w:type="pct"/>
            <w:vAlign w:val="center"/>
          </w:tcPr>
          <w:p>
            <w:r>
              <w:t xml:space="preserve">1. Руководитель работ - Определить место производства работ; указать в наряде-допуске мероприятия по безопасности</w:t>
            </w:r>
            <w:r>
              <w:t xml:space="preserve">2. Выдающий наряд-допуск - Проверить укомплектованность членов бригады инструментом, материалами, средствами защиты; подготовить рабочее место к началу работы; провести целевой инструктаж членов бригады</w:t>
            </w:r>
            <w:r>
              <w:t xml:space="preserve">3. Исполнитель (производитель) работ - Вести непрерывный контроль за работой членов бригады, выполнением мер безопасности и соблюдением технологии; опросить исполнителей работ об их самочувствии</w:t>
            </w:r>
          </w:p>
        </w:tc>
        <w:tc>
          <w:tcPr>
            <w:tcW w:w="750" w:type="pct"/>
            <w:vAlign w:val="center"/>
          </w:tcPr>
          <w:p>
            <w:r>
              <w:t xml:space="preserve">неверно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25</w:t>
            </w:r>
          </w:p>
        </w:tc>
        <w:tc>
          <w:tcPr>
            <w:tcW w:w="1500" w:type="pct"/>
            <w:vAlign w:val="center"/>
          </w:tcPr>
          <w:p>
            <w:r>
              <w:t xml:space="preserve">На основе каких принципов осуществляется деятельность федеральной инспекции труда и ее должностных лиц</w:t>
            </w:r>
          </w:p>
        </w:tc>
        <w:tc>
          <w:tcPr>
            <w:tcW w:w="2500" w:type="pct"/>
            <w:vAlign w:val="center"/>
          </w:tcPr>
          <w:p>
            <w:r>
              <w:t xml:space="preserve">1. Уважения, соблюдения и защиты прав и свобод человека и гражданина, законности, объективности, независимости и гласности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26</w:t>
            </w:r>
          </w:p>
        </w:tc>
        <w:tc>
          <w:tcPr>
            <w:tcW w:w="1500" w:type="pct"/>
            <w:vAlign w:val="center"/>
          </w:tcPr>
          <w:p>
            <w:r>
              <w:t xml:space="preserve">Какой размер оплаты труда предусматривается при выполнении сверхурочной работы</w:t>
            </w:r>
          </w:p>
        </w:tc>
        <w:tc>
          <w:tcPr>
            <w:tcW w:w="2500" w:type="pct"/>
            <w:vAlign w:val="center"/>
          </w:tcPr>
          <w:p>
            <w:r>
              <w:t xml:space="preserve">1. За первые два часа работы не менее чем в полуторном размере, за последующие часы - не менее чем в двойном размере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27</w:t>
            </w:r>
          </w:p>
        </w:tc>
        <w:tc>
          <w:tcPr>
            <w:tcW w:w="1500" w:type="pct"/>
            <w:vAlign w:val="center"/>
          </w:tcPr>
          <w:p>
            <w:r>
              <w:t xml:space="preserve">Когда принимается решение о прекращении бесплатной выдачи молока или равноценных пищевых продуктов</w:t>
            </w:r>
          </w:p>
        </w:tc>
        <w:tc>
          <w:tcPr>
            <w:tcW w:w="2500" w:type="pct"/>
            <w:vAlign w:val="center"/>
          </w:tcPr>
          <w:p>
            <w:r>
              <w:t xml:space="preserve">1. В случае обеспечения безопасных (оптимальных или допустимых) условий труда, подтвержденных результатами специальной оценки условий труда и с учетом мнения выборного органа первичной профсоюзной организации или иного представительного органа работников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28</w:t>
            </w:r>
          </w:p>
        </w:tc>
        <w:tc>
          <w:tcPr>
            <w:tcW w:w="1500" w:type="pct"/>
            <w:vAlign w:val="center"/>
          </w:tcPr>
          <w:p>
            <w:r>
              <w:t xml:space="preserve">На основании какого документа проводится вводный инструктаж по охране труда</w:t>
            </w:r>
          </w:p>
        </w:tc>
        <w:tc>
          <w:tcPr>
            <w:tcW w:w="2500" w:type="pct"/>
            <w:vAlign w:val="center"/>
          </w:tcPr>
          <w:p>
            <w:r>
              <w:t xml:space="preserve">1. По программе вводного инструктажа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29</w:t>
            </w:r>
          </w:p>
        </w:tc>
        <w:tc>
          <w:tcPr>
            <w:tcW w:w="1500" w:type="pct"/>
            <w:vAlign w:val="center"/>
          </w:tcPr>
          <w:p>
            <w:r>
              <w:t xml:space="preserve">К каким формам (способам) информирования относится ознакомление работников с положениями коллективного договора и (или) отраслевого соглашения, распространяемых на работодателей и работников, в том числе при участии первичной профсоюзной организации (при наличии)</w:t>
            </w:r>
          </w:p>
        </w:tc>
        <w:tc>
          <w:tcPr>
            <w:tcW w:w="2500" w:type="pct"/>
            <w:vAlign w:val="center"/>
          </w:tcPr>
          <w:p>
            <w:r>
              <w:t xml:space="preserve">1. Визуальная/печатная информация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30</w:t>
            </w:r>
          </w:p>
        </w:tc>
        <w:tc>
          <w:tcPr>
            <w:tcW w:w="1500" w:type="pct"/>
            <w:vAlign w:val="center"/>
          </w:tcPr>
          <w:p>
            <w:r>
              <w:t xml:space="preserve">В какой срок работодатель должен уведомить работника о дате проведения периодического осмотра</w:t>
            </w:r>
          </w:p>
        </w:tc>
        <w:tc>
          <w:tcPr>
            <w:tcW w:w="2500" w:type="pct"/>
            <w:vAlign w:val="center"/>
          </w:tcPr>
          <w:p>
            <w:r>
              <w:t xml:space="preserve">1. Не позднее чем за 10 рабочих дней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</w:tbl>
    <w:p>
      <w:r>
        <w:br/>
      </w:r>
      <w:r>
        <w:br/>
      </w:r>
      <w:r>
        <w:rPr>
          <w:b/>
        </w:rPr>
        <w:t xml:space="preserve">12. </w:t>
      </w:r>
      <w:r>
        <w:rPr>
          <w:b/>
        </w:rPr>
        <w:t xml:space="preserve">Уполномоченное лицо, допустившее к прохождению тестирования: </w:t>
      </w:r>
      <w:r>
        <w:t xml:space="preserve"> </w:t>
      </w:r>
      <w:r>
        <w:br/>
      </w:r>
      <w:r>
        <w:t xml:space="preserve"> </w:t>
      </w:r>
      <w:r>
        <w:t xml:space="preserve">Дата: 25.09.2024      </w:t>
      </w:r>
      <w:r>
        <w:t xml:space="preserve">Подпись: </w:t>
      </w:r>
      <w:r>
        <w:br/>
      </w:r>
      <w:r>
        <w:rPr>
          <w:b/>
        </w:rPr>
        <w:t xml:space="preserve">13. </w:t>
      </w:r>
      <w:r>
        <w:rPr>
          <w:b/>
        </w:rPr>
        <w:t xml:space="preserve">Копию результата тестирования получил: </w:t>
      </w:r>
      <w:r>
        <w:t xml:space="preserve">Змановская Мария Анатольевна</w:t>
      </w:r>
      <w:r>
        <w:br/>
      </w:r>
      <w:r>
        <w:t xml:space="preserve"> </w:t>
      </w:r>
      <w:r>
        <w:t xml:space="preserve">Дата: 25.09.2024      </w:t>
      </w:r>
      <w:r>
        <w:t xml:space="preserve">Подпись: </w:t>
      </w:r>
      <w:r>
        <w:br/>
      </w:r>
      <w:r>
        <w:br/>
      </w:r>
      <w:r>
        <w:br/>
      </w:r>
      <w:r>
        <w:t xml:space="preserve">Выписка сформирована в Федеральной государственной информационной системе учета результатов проведения специальной оценки условий труда,размещенной на официальном сайте Минтруда России в сети интернет по адресу </w:t>
      </w:r>
      <w:hyperlink xmlns:r="http://schemas.openxmlformats.org/officeDocument/2006/relationships" w:history="true" r:id="R742e8f031fec47b4">
        <w:r>
          <w:rPr>
            <w:rStyle w:val="Hyperlink"/>
          </w:rPr>
          <w:t xml:space="preserve">https://akot.rosmintrud.ru</w:t>
        </w:r>
      </w:hyperlink>
      <w:r>
        <w:br/>
      </w:r>
    </w:p>
    <w:sect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styles.xml><?xml version="1.0" encoding="utf-8"?>
<w:styles xmlns:w="http://schemas.openxmlformats.org/wordprocessingml/2006/main">
  <w:style xmlns:w="http://schemas.openxmlformats.org/wordprocessingml/2006/main" w:type="paragraph" w:styleId="Heading2">
    <w:name w:val="heading 2"/>
    <w:basedOn w:val="Normal"/>
    <w:next w:val="Normal"/>
    <w:link w:val="Heading2Char"/>
    <w:unhideWhenUsed/>
    <w:qFormat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</w:r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="http://schemas.openxmlformats.org/wordprocessingml/2006/main" w:type="character" w:styleId="Hyperlink">
    <w:name w:val="Hyperlink"/>
    <w:unhideWhenUsed/>
    <w:rPr>
      <w:color w:val="0000FF" w:themeColor="hyperlink"/>
      <w:u w:val="single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f5b6017ea2e4653" /><Relationship Type="http://schemas.openxmlformats.org/officeDocument/2006/relationships/hyperlink" Target="https://akot.rosmintrud.ru" TargetMode="External" Id="R742e8f031fec47b4" /></Relationships>
</file>